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2A6542">
        <w:rPr>
          <w:rFonts w:ascii="Times New Roman" w:hAnsi="Times New Roman" w:cs="Times New Roman"/>
          <w:bCs/>
          <w:color w:val="auto"/>
          <w:sz w:val="22"/>
          <w:szCs w:val="22"/>
        </w:rPr>
        <w:t>07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2A6542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6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2A6542"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>zakupu serwera wraz z oprogramowaniem, 6 laptopów z opro</w:t>
      </w:r>
      <w:r w:rsidR="00AD0FDB">
        <w:rPr>
          <w:rFonts w:ascii="Times New Roman" w:hAnsi="Times New Roman" w:cs="Times New Roman"/>
          <w:b/>
          <w:color w:val="auto"/>
          <w:sz w:val="22"/>
          <w:szCs w:val="22"/>
        </w:rPr>
        <w:t>gramowaniem systemowym oraz</w:t>
      </w:r>
      <w:r w:rsidR="001875D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licencji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 zdalny</w:t>
      </w:r>
      <w:r w:rsidR="001F048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dostęp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serwera dla </w:t>
      </w:r>
      <w:r w:rsidR="004613E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min. 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>5 użytk</w:t>
      </w:r>
      <w:r w:rsidR="001256C2">
        <w:rPr>
          <w:rFonts w:ascii="Times New Roman" w:hAnsi="Times New Roman" w:cs="Times New Roman"/>
          <w:b/>
          <w:color w:val="auto"/>
          <w:sz w:val="22"/>
          <w:szCs w:val="22"/>
        </w:rPr>
        <w:t>owników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AD0FDB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424FB7">
              <w:rPr>
                <w:b/>
                <w:sz w:val="22"/>
                <w:szCs w:val="22"/>
              </w:rPr>
              <w:t>zakupu serwera wraz z oprogramowaniem, 6 laptopów z opro</w:t>
            </w:r>
            <w:r w:rsidR="001F048E">
              <w:rPr>
                <w:b/>
                <w:sz w:val="22"/>
                <w:szCs w:val="22"/>
              </w:rPr>
              <w:t>gramowaniem systemowym</w:t>
            </w:r>
            <w:r w:rsidR="00D07275">
              <w:rPr>
                <w:b/>
                <w:sz w:val="22"/>
                <w:szCs w:val="22"/>
              </w:rPr>
              <w:t xml:space="preserve"> oraz licencja</w:t>
            </w:r>
            <w:r w:rsidR="00C22146">
              <w:rPr>
                <w:b/>
                <w:sz w:val="22"/>
                <w:szCs w:val="22"/>
              </w:rPr>
              <w:t xml:space="preserve"> ( 1 szt.)</w:t>
            </w:r>
            <w:r w:rsidR="00424FB7">
              <w:rPr>
                <w:b/>
                <w:sz w:val="22"/>
                <w:szCs w:val="22"/>
              </w:rPr>
              <w:t xml:space="preserve"> na dostęp zdalny do serwera dla </w:t>
            </w:r>
            <w:r w:rsidR="00D07275">
              <w:rPr>
                <w:b/>
                <w:sz w:val="22"/>
                <w:szCs w:val="22"/>
              </w:rPr>
              <w:t xml:space="preserve">min. </w:t>
            </w:r>
            <w:r w:rsidR="00424FB7">
              <w:rPr>
                <w:b/>
                <w:sz w:val="22"/>
                <w:szCs w:val="22"/>
              </w:rPr>
              <w:t>5 użytk</w:t>
            </w:r>
            <w:r w:rsidR="001256C2">
              <w:rPr>
                <w:b/>
                <w:sz w:val="22"/>
                <w:szCs w:val="22"/>
              </w:rPr>
              <w:t xml:space="preserve">owników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D07058" w:rsidRDefault="00D07058" w:rsidP="00D07058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Zakup, dostawa, serwera z oprogramowaniem,</w:t>
            </w:r>
          </w:p>
          <w:p w:rsidR="00D07058" w:rsidRDefault="00D07058" w:rsidP="00D07058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Zakup, dostawa licencji na dostęp zdalny do </w:t>
            </w:r>
            <w:r w:rsidR="00D07275">
              <w:rPr>
                <w:color w:val="000000"/>
              </w:rPr>
              <w:t>serwera dla min. 5 użytkowników</w:t>
            </w:r>
            <w:r w:rsidR="00511509">
              <w:rPr>
                <w:color w:val="000000"/>
              </w:rPr>
              <w:t>,</w:t>
            </w:r>
          </w:p>
          <w:p w:rsidR="00511509" w:rsidRDefault="00511509" w:rsidP="0051150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Zakup , dostawa 6 laptopów z </w:t>
            </w:r>
            <w:r>
              <w:rPr>
                <w:color w:val="000000"/>
              </w:rPr>
              <w:t>oprogramowaniem.</w:t>
            </w:r>
          </w:p>
          <w:p w:rsidR="00511509" w:rsidRDefault="00511509" w:rsidP="00511509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  <w:p w:rsidR="008500DA" w:rsidRPr="00C22146" w:rsidRDefault="00C22146" w:rsidP="007040A5">
            <w:pPr>
              <w:spacing w:line="276" w:lineRule="auto"/>
              <w:rPr>
                <w:b/>
                <w:u w:val="single"/>
              </w:rPr>
            </w:pPr>
            <w:r w:rsidRPr="00C22146">
              <w:rPr>
                <w:b/>
                <w:u w:val="single"/>
              </w:rPr>
              <w:t>Serwer</w:t>
            </w: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6D226A" w:rsidRDefault="00B956B3" w:rsidP="006D226A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  <w:r w:rsidR="006D226A">
              <w:rPr>
                <w:sz w:val="22"/>
                <w:szCs w:val="22"/>
              </w:rPr>
              <w:t xml:space="preserve">Przedmiotem zamówienia jest zakup, dostawa serwera z oprogramowaniem </w:t>
            </w:r>
            <w:r w:rsidR="004613E6">
              <w:rPr>
                <w:sz w:val="22"/>
                <w:szCs w:val="22"/>
              </w:rPr>
              <w:t xml:space="preserve"> oraz </w:t>
            </w:r>
            <w:r w:rsidR="0088516B">
              <w:rPr>
                <w:sz w:val="22"/>
                <w:szCs w:val="22"/>
              </w:rPr>
              <w:t>licencji</w:t>
            </w:r>
            <w:r w:rsidR="00A635F8">
              <w:rPr>
                <w:sz w:val="22"/>
                <w:szCs w:val="22"/>
              </w:rPr>
              <w:t xml:space="preserve"> </w:t>
            </w:r>
            <w:r w:rsidR="0088516B">
              <w:rPr>
                <w:sz w:val="22"/>
                <w:szCs w:val="22"/>
              </w:rPr>
              <w:t xml:space="preserve"> na </w:t>
            </w:r>
            <w:r w:rsidR="0088516B">
              <w:rPr>
                <w:sz w:val="22"/>
                <w:szCs w:val="22"/>
              </w:rPr>
              <w:lastRenderedPageBreak/>
              <w:t xml:space="preserve">dostęp zdalny do serwera ( dla min. 5 użytkowników) </w:t>
            </w:r>
            <w:r w:rsidR="006D226A">
              <w:rPr>
                <w:sz w:val="22"/>
                <w:szCs w:val="22"/>
              </w:rPr>
              <w:t xml:space="preserve"> według poniższej specyfikacji:</w:t>
            </w:r>
          </w:p>
          <w:p w:rsidR="00C22146" w:rsidRDefault="00C22146" w:rsidP="006D226A">
            <w:pP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Tabela-Siatka"/>
              <w:tblW w:w="3700" w:type="pct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4440"/>
            </w:tblGrid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32CE2">
                    <w:rPr>
                      <w:sz w:val="18"/>
                      <w:szCs w:val="18"/>
                    </w:rPr>
                    <w:t xml:space="preserve">Serwer będzie wykorzystywany dla potrzeb aplikacji sieciowych min. Symfonii i </w:t>
                  </w:r>
                  <w:proofErr w:type="spellStart"/>
                  <w:r w:rsidRPr="00832CE2">
                    <w:rPr>
                      <w:sz w:val="18"/>
                      <w:szCs w:val="18"/>
                    </w:rPr>
                    <w:t>Pbazy</w:t>
                  </w:r>
                  <w:proofErr w:type="spellEnd"/>
                  <w:r w:rsidRPr="00832CE2">
                    <w:rPr>
                      <w:sz w:val="18"/>
                      <w:szCs w:val="18"/>
                    </w:rPr>
                    <w:t xml:space="preserve">, </w:t>
                  </w:r>
                </w:p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oraz zdalnego dostępu spoza siedziby firmy poprzez usługi terminalowe.</w:t>
                  </w:r>
                </w:p>
              </w:tc>
            </w:tr>
            <w:tr w:rsidR="00694AE8" w:rsidRPr="00CF516C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Płyta główna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32CE2">
                    <w:rPr>
                      <w:sz w:val="18"/>
                      <w:szCs w:val="18"/>
                    </w:rPr>
                    <w:t>Płyta główna z możliwością zainstalowania dwóch procesorów.</w:t>
                  </w:r>
                </w:p>
              </w:tc>
            </w:tr>
            <w:tr w:rsidR="00694AE8" w:rsidRPr="00FF1D46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BF7B00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7B00">
                    <w:t xml:space="preserve"> Typu min. HP </w:t>
                  </w:r>
                  <w:proofErr w:type="spellStart"/>
                  <w:r w:rsidRPr="00BF7B00">
                    <w:t>ProLiant</w:t>
                  </w:r>
                  <w:proofErr w:type="spellEnd"/>
                  <w:r w:rsidRPr="00BF7B00">
                    <w:t xml:space="preserve"> ML350p </w:t>
                  </w:r>
                  <w:r w:rsidRPr="00CC1C4F">
                    <w:t>TO8</w:t>
                  </w:r>
                  <w:r>
                    <w:rPr>
                      <w:color w:val="FF0000"/>
                    </w:rPr>
                    <w:t xml:space="preserve"> </w:t>
                  </w:r>
                  <w:r w:rsidRPr="00BF7B00">
                    <w:t>Gen8 E5-2620</w:t>
                  </w:r>
                  <w:r>
                    <w:t xml:space="preserve"> </w:t>
                  </w:r>
                  <w:r w:rsidRPr="00CC1C4F">
                    <w:t xml:space="preserve">SFF Base EU </w:t>
                  </w:r>
                  <w:proofErr w:type="spellStart"/>
                  <w:r w:rsidRPr="00CC1C4F">
                    <w:t>Svr</w:t>
                  </w:r>
                  <w:proofErr w:type="spellEnd"/>
                  <w:r>
                    <w:t xml:space="preserve"> lub równoważne </w:t>
                  </w:r>
                </w:p>
              </w:tc>
            </w:tr>
            <w:tr w:rsidR="00694AE8" w:rsidRPr="002B20BF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Typu min. </w:t>
                  </w:r>
                  <w:r w:rsidRPr="00832CE2">
                    <w:rPr>
                      <w:sz w:val="18"/>
                      <w:szCs w:val="18"/>
                    </w:rPr>
                    <w:t xml:space="preserve">Intel Xeon E5-2620 (2 </w:t>
                  </w:r>
                  <w:proofErr w:type="spellStart"/>
                  <w:r w:rsidRPr="00832CE2">
                    <w:rPr>
                      <w:sz w:val="18"/>
                      <w:szCs w:val="18"/>
                    </w:rPr>
                    <w:t>GHz</w:t>
                  </w:r>
                  <w:proofErr w:type="spellEnd"/>
                  <w:r w:rsidRPr="00832CE2">
                    <w:rPr>
                      <w:sz w:val="18"/>
                      <w:szCs w:val="18"/>
                    </w:rPr>
                    <w:t xml:space="preserve">) lub </w:t>
                  </w:r>
                  <w:r>
                    <w:rPr>
                      <w:sz w:val="18"/>
                      <w:szCs w:val="18"/>
                    </w:rPr>
                    <w:t>równoważne</w:t>
                  </w:r>
                </w:p>
              </w:tc>
            </w:tr>
            <w:tr w:rsidR="00694AE8" w:rsidRPr="00685E53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Pamięć operacyjna RAM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1F6ED3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F6ED3">
                    <w:rPr>
                      <w:sz w:val="18"/>
                      <w:szCs w:val="18"/>
                      <w:lang w:val="en-US"/>
                    </w:rPr>
                    <w:t>Min. 8 GB DDR3-1333 ECC-R (PC3-10600))</w:t>
                  </w:r>
                </w:p>
              </w:tc>
            </w:tr>
            <w:tr w:rsidR="00694AE8" w:rsidRPr="00DC179E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Dysk HDD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Typu </w:t>
                  </w:r>
                  <w:proofErr w:type="spellStart"/>
                  <w:r>
                    <w:rPr>
                      <w:sz w:val="18"/>
                      <w:szCs w:val="18"/>
                    </w:rPr>
                    <w:t>min.</w:t>
                  </w:r>
                  <w:r w:rsidRPr="00832CE2">
                    <w:rPr>
                      <w:sz w:val="18"/>
                      <w:szCs w:val="18"/>
                    </w:rPr>
                    <w:t>HP</w:t>
                  </w:r>
                  <w:proofErr w:type="spellEnd"/>
                  <w:r w:rsidRPr="00832CE2">
                    <w:rPr>
                      <w:sz w:val="18"/>
                      <w:szCs w:val="18"/>
                    </w:rPr>
                    <w:t xml:space="preserve"> 146GB 6G SAS 15K 2.5in DP ENT HDD </w:t>
                  </w:r>
                  <w:r>
                    <w:rPr>
                      <w:sz w:val="18"/>
                      <w:szCs w:val="18"/>
                    </w:rPr>
                    <w:t xml:space="preserve">min. </w:t>
                  </w:r>
                  <w:r w:rsidRPr="00832CE2">
                    <w:rPr>
                      <w:sz w:val="18"/>
                      <w:szCs w:val="18"/>
                    </w:rPr>
                    <w:t xml:space="preserve">4 sztuki - skonfigurowane w </w:t>
                  </w:r>
                  <w:proofErr w:type="spellStart"/>
                  <w:r w:rsidRPr="00832CE2">
                    <w:rPr>
                      <w:sz w:val="18"/>
                      <w:szCs w:val="18"/>
                    </w:rPr>
                    <w:t>Raid</w:t>
                  </w:r>
                  <w:proofErr w:type="spellEnd"/>
                  <w:r w:rsidRPr="00832CE2">
                    <w:rPr>
                      <w:sz w:val="18"/>
                      <w:szCs w:val="18"/>
                    </w:rPr>
                    <w:t xml:space="preserve"> 0+1</w:t>
                  </w:r>
                  <w:r>
                    <w:rPr>
                      <w:sz w:val="18"/>
                      <w:szCs w:val="18"/>
                    </w:rPr>
                    <w:t xml:space="preserve"> lub równoważne</w:t>
                  </w:r>
                </w:p>
              </w:tc>
            </w:tr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Napęd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Min. </w:t>
                  </w:r>
                  <w:r w:rsidRPr="00832CE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DVD+/-RW (Serial ATA, bez oprogramowania)</w:t>
                  </w:r>
                </w:p>
              </w:tc>
            </w:tr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Monitor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2CE2">
                    <w:rPr>
                      <w:rFonts w:ascii="Arial" w:hAnsi="Arial" w:cs="Arial"/>
                      <w:sz w:val="18"/>
                      <w:szCs w:val="18"/>
                    </w:rPr>
                    <w:t xml:space="preserve">Min.  22 cale LED </w:t>
                  </w:r>
                </w:p>
              </w:tc>
            </w:tr>
            <w:tr w:rsidR="00694AE8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Warunki gwarancji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Min. </w:t>
                  </w:r>
                  <w:r w:rsidRPr="00832CE2">
                    <w:rPr>
                      <w:sz w:val="18"/>
                      <w:szCs w:val="18"/>
                    </w:rPr>
                    <w:t>3-letnia gwarancja producenta świadczona na miejscu u klienta, czas reakcji serwisu - do końca następnego dnia roboczego</w:t>
                  </w:r>
                </w:p>
              </w:tc>
            </w:tr>
            <w:tr w:rsidR="00694AE8" w:rsidRPr="00601659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System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9909E8" w:rsidRDefault="00694AE8" w:rsidP="00D34281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909E8">
                    <w:rPr>
                      <w:lang w:val="en-US"/>
                    </w:rPr>
                    <w:t>Typu</w:t>
                  </w:r>
                  <w:proofErr w:type="spellEnd"/>
                  <w:r w:rsidRPr="009909E8">
                    <w:rPr>
                      <w:lang w:val="en-US"/>
                    </w:rPr>
                    <w:t xml:space="preserve"> min. Microsoft Windows Server 2008 Enterprise R2 SP1 64Bit x64 1-8CPU  25Clt OEM</w:t>
                  </w:r>
                </w:p>
                <w:p w:rsidR="00694AE8" w:rsidRPr="00601659" w:rsidRDefault="00694AE8" w:rsidP="00D34281">
                  <w:pPr>
                    <w:jc w:val="center"/>
                  </w:pPr>
                  <w:r w:rsidRPr="00601659">
                    <w:t>(</w:t>
                  </w:r>
                  <w:r>
                    <w:t xml:space="preserve">w komplecie licencja na min. 25 użytkowników ) lub równoważne </w:t>
                  </w:r>
                </w:p>
              </w:tc>
            </w:tr>
            <w:tr w:rsidR="00694AE8" w:rsidRPr="00685E53" w:rsidTr="00D34281">
              <w:trPr>
                <w:trHeight w:val="837"/>
              </w:trPr>
              <w:tc>
                <w:tcPr>
                  <w:tcW w:w="1596" w:type="pct"/>
                  <w:vAlign w:val="center"/>
                </w:tcPr>
                <w:p w:rsidR="00694AE8" w:rsidRPr="00832CE2" w:rsidRDefault="00694AE8" w:rsidP="00D34281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2CE2">
                    <w:rPr>
                      <w:b/>
                      <w:sz w:val="18"/>
                      <w:szCs w:val="18"/>
                    </w:rPr>
                    <w:t>Oprogramowanie terminalowe</w:t>
                  </w:r>
                </w:p>
              </w:tc>
              <w:tc>
                <w:tcPr>
                  <w:tcW w:w="3404" w:type="pct"/>
                  <w:vAlign w:val="center"/>
                </w:tcPr>
                <w:p w:rsidR="00694AE8" w:rsidRPr="00832CE2" w:rsidRDefault="00694AE8" w:rsidP="00D3428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9909E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Typu</w:t>
                  </w:r>
                  <w:proofErr w:type="spellEnd"/>
                  <w:r w:rsidRPr="009909E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min.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CC1C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Windows Server 2008 Remote Desktop Services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min. </w:t>
                  </w:r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proofErr w:type="spellStart"/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licencji</w:t>
                  </w:r>
                  <w:proofErr w:type="spellEnd"/>
                  <w:r w:rsidRPr="00832CE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CAL User Pack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równoważne</w:t>
                  </w:r>
                  <w:proofErr w:type="spellEnd"/>
                </w:p>
              </w:tc>
            </w:tr>
          </w:tbl>
          <w:p w:rsidR="00694AE8" w:rsidRPr="00694AE8" w:rsidRDefault="00694AE8" w:rsidP="006D226A">
            <w:pPr>
              <w:spacing w:line="276" w:lineRule="auto"/>
              <w:rPr>
                <w:lang w:val="en-US"/>
              </w:rPr>
            </w:pPr>
          </w:p>
          <w:p w:rsidR="00A635F8" w:rsidRPr="00694AE8" w:rsidRDefault="00A635F8" w:rsidP="006D226A">
            <w:pPr>
              <w:spacing w:line="276" w:lineRule="auto"/>
              <w:rPr>
                <w:lang w:val="en-US"/>
              </w:rPr>
            </w:pPr>
          </w:p>
          <w:p w:rsidR="006D226A" w:rsidRDefault="004613E6" w:rsidP="006D226A">
            <w:pPr>
              <w:spacing w:line="276" w:lineRule="auto"/>
            </w:pPr>
            <w:r>
              <w:t xml:space="preserve">Serwer powinien zapewniać najwyższą w swojej klasie wydajność, dostępność i możliwość rozbudowy. Serwer powinien być wyposażony w kluczowe technologie architektury typu min. HP </w:t>
            </w:r>
            <w:proofErr w:type="spellStart"/>
            <w:r>
              <w:t>ProAktive</w:t>
            </w:r>
            <w:proofErr w:type="spellEnd"/>
            <w:r>
              <w:t xml:space="preserve"> </w:t>
            </w:r>
            <w:proofErr w:type="spellStart"/>
            <w:r>
              <w:t>Insight</w:t>
            </w:r>
            <w:proofErr w:type="spellEnd"/>
            <w:r>
              <w:t xml:space="preserve">, innowacje w zakresie obsługi pamięci , zarządzania serwerem, zarządzania oprogramowaniem układowym, a także pamięci masowe. Technologia min. </w:t>
            </w:r>
            <w:r>
              <w:lastRenderedPageBreak/>
              <w:t>RAID 0+1zabezpieczająca dane w przypadku awarii więcej niż 1 dysku.</w:t>
            </w:r>
          </w:p>
          <w:p w:rsidR="00A635F8" w:rsidRDefault="00A635F8" w:rsidP="006D226A">
            <w:pPr>
              <w:spacing w:line="276" w:lineRule="auto"/>
            </w:pPr>
            <w:r>
              <w:t>Licencja na zdalny dostęp do serwera musi umożliwiać dostęp do danych na serwerze spoza siedziby Regionalnej Izby Gospodarczej.</w:t>
            </w:r>
            <w:r w:rsidR="000079EA">
              <w:t xml:space="preserve"> Wykonawca zobowiązany jest zapewnić niezbędne elementy do uruchomienia, zainstalowania oraz poprawnego działania serwera.</w:t>
            </w:r>
          </w:p>
          <w:p w:rsidR="004613E6" w:rsidRDefault="004613E6" w:rsidP="006D226A">
            <w:pPr>
              <w:spacing w:line="276" w:lineRule="auto"/>
            </w:pPr>
          </w:p>
          <w:p w:rsidR="003D66EA" w:rsidRDefault="006D226A" w:rsidP="006D22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Przedmiotem zamówienia jest  dostawa 6 laptopów z oprogramowaniem systemowym według poniższej specyfikacji:</w:t>
            </w:r>
          </w:p>
          <w:p w:rsidR="00C22146" w:rsidRDefault="00C22146" w:rsidP="006D226A">
            <w:pPr>
              <w:spacing w:line="276" w:lineRule="auto"/>
            </w:pPr>
            <w:bookmarkStart w:id="0" w:name="_GoBack"/>
            <w:bookmarkEnd w:id="0"/>
          </w:p>
          <w:tbl>
            <w:tblPr>
              <w:tblStyle w:val="Tabela-Siatka"/>
              <w:tblW w:w="662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686"/>
            </w:tblGrid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Zastosowanie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C04A0">
                    <w:rPr>
                      <w:sz w:val="20"/>
                      <w:szCs w:val="20"/>
                    </w:rPr>
                    <w:t>Komputer przenośny będzie wykorzystywany dla potrzeb aplikacji biurowych, aplika</w:t>
                  </w:r>
                  <w:r>
                    <w:rPr>
                      <w:sz w:val="20"/>
                      <w:szCs w:val="20"/>
                    </w:rPr>
                    <w:t>cji obliczeniowych, dostępu do I</w:t>
                  </w:r>
                  <w:r w:rsidRPr="000C04A0">
                    <w:rPr>
                      <w:sz w:val="20"/>
                      <w:szCs w:val="20"/>
                    </w:rPr>
                    <w:t xml:space="preserve">nternetu oraz poczty elektronicznej, jako lokalna baza danych, stacja programistyczna </w:t>
                  </w:r>
                </w:p>
              </w:tc>
            </w:tr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Typ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C04A0">
                    <w:rPr>
                      <w:sz w:val="20"/>
                      <w:szCs w:val="20"/>
                    </w:rPr>
                    <w:t xml:space="preserve">Komputer przenośny typu notebook z ekranem </w:t>
                  </w:r>
                  <w:r>
                    <w:rPr>
                      <w:sz w:val="20"/>
                      <w:szCs w:val="20"/>
                    </w:rPr>
                    <w:t>min. 14 cali</w:t>
                  </w:r>
                  <w:r w:rsidRPr="000C04A0">
                    <w:rPr>
                      <w:sz w:val="20"/>
                      <w:szCs w:val="20"/>
                    </w:rPr>
                    <w:t xml:space="preserve"> o rozdzielczości</w:t>
                  </w:r>
                  <w:r>
                    <w:rPr>
                      <w:sz w:val="20"/>
                      <w:szCs w:val="20"/>
                    </w:rPr>
                    <w:t xml:space="preserve"> LCD </w:t>
                  </w:r>
                  <w:r w:rsidRPr="000C04A0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1366*768 pikseli</w:t>
                  </w:r>
                  <w:r w:rsidRPr="000C04A0">
                    <w:rPr>
                      <w:sz w:val="20"/>
                      <w:szCs w:val="20"/>
                    </w:rPr>
                    <w:t xml:space="preserve"> z podświetleniem </w:t>
                  </w:r>
                  <w:r>
                    <w:rPr>
                      <w:sz w:val="20"/>
                      <w:szCs w:val="20"/>
                    </w:rPr>
                    <w:t xml:space="preserve"> LED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94AE8" w:rsidRPr="002B20BF" w:rsidTr="00D34281">
              <w:trPr>
                <w:trHeight w:val="1135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Procesor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2B20BF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B20BF">
                    <w:rPr>
                      <w:sz w:val="20"/>
                      <w:szCs w:val="20"/>
                    </w:rPr>
                    <w:t xml:space="preserve">Min. Procesor </w:t>
                  </w:r>
                  <w:proofErr w:type="spellStart"/>
                  <w:r w:rsidRPr="002B20BF">
                    <w:rPr>
                      <w:sz w:val="20"/>
                      <w:szCs w:val="20"/>
                    </w:rPr>
                    <w:t>Core</w:t>
                  </w:r>
                  <w:proofErr w:type="spellEnd"/>
                  <w:r w:rsidRPr="002B20BF">
                    <w:rPr>
                      <w:sz w:val="20"/>
                      <w:szCs w:val="20"/>
                    </w:rPr>
                    <w:t xml:space="preserve"> i</w:t>
                  </w:r>
                  <w:r w:rsidRPr="002B20BF">
                    <w:t>3-2350M</w:t>
                  </w:r>
                  <w:r w:rsidRPr="002B20B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lub równoważne</w:t>
                  </w:r>
                </w:p>
              </w:tc>
            </w:tr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Pamięć operacyjna RAM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Min. 4</w:t>
                  </w:r>
                  <w:r w:rsidRPr="000C04A0">
                    <w:rPr>
                      <w:sz w:val="20"/>
                      <w:szCs w:val="20"/>
                    </w:rPr>
                    <w:t>GB (2x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C04A0">
                    <w:rPr>
                      <w:sz w:val="20"/>
                      <w:szCs w:val="20"/>
                    </w:rPr>
                    <w:t xml:space="preserve">) DDR3 1600MH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94AE8" w:rsidTr="00D34281">
              <w:trPr>
                <w:trHeight w:val="1135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Dysk HDD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0C04A0">
                    <w:rPr>
                      <w:sz w:val="20"/>
                      <w:szCs w:val="20"/>
                    </w:rPr>
                    <w:t xml:space="preserve">Min. </w:t>
                  </w:r>
                  <w:r>
                    <w:rPr>
                      <w:sz w:val="20"/>
                      <w:szCs w:val="20"/>
                    </w:rPr>
                    <w:t>500</w:t>
                  </w:r>
                  <w:r w:rsidRPr="000C04A0">
                    <w:rPr>
                      <w:sz w:val="20"/>
                      <w:szCs w:val="20"/>
                    </w:rPr>
                    <w:t xml:space="preserve"> GB SATA, 7200 </w:t>
                  </w:r>
                  <w:proofErr w:type="spellStart"/>
                  <w:r w:rsidRPr="000C04A0">
                    <w:rPr>
                      <w:sz w:val="20"/>
                      <w:szCs w:val="20"/>
                    </w:rPr>
                    <w:t>obr</w:t>
                  </w:r>
                  <w:proofErr w:type="spellEnd"/>
                  <w:r w:rsidRPr="000C04A0">
                    <w:rPr>
                      <w:sz w:val="20"/>
                      <w:szCs w:val="20"/>
                    </w:rPr>
                    <w:t xml:space="preserve">./min </w:t>
                  </w:r>
                </w:p>
              </w:tc>
            </w:tr>
            <w:tr w:rsidR="00694AE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Warunki gwarancji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0C04A0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04A0">
                    <w:rPr>
                      <w:rFonts w:ascii="Arial" w:hAnsi="Arial" w:cs="Arial"/>
                      <w:sz w:val="20"/>
                      <w:szCs w:val="20"/>
                    </w:rPr>
                    <w:t>Minimum 2 lata</w:t>
                  </w:r>
                </w:p>
              </w:tc>
            </w:tr>
            <w:tr w:rsidR="00694AE8" w:rsidRPr="00DF2078" w:rsidTr="00D34281">
              <w:trPr>
                <w:trHeight w:val="1201"/>
              </w:trPr>
              <w:tc>
                <w:tcPr>
                  <w:tcW w:w="2943" w:type="dxa"/>
                  <w:vAlign w:val="center"/>
                </w:tcPr>
                <w:p w:rsidR="00694AE8" w:rsidRPr="000C04A0" w:rsidRDefault="00694AE8" w:rsidP="00D34281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4A0">
                    <w:rPr>
                      <w:b/>
                      <w:sz w:val="20"/>
                      <w:szCs w:val="20"/>
                    </w:rPr>
                    <w:t xml:space="preserve">Wymagania dodatkowe </w:t>
                  </w:r>
                </w:p>
                <w:p w:rsidR="00694AE8" w:rsidRPr="000C04A0" w:rsidRDefault="00694AE8" w:rsidP="00D342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694AE8" w:rsidRPr="001B3107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F73">
                    <w:rPr>
                      <w:rFonts w:ascii="Arial" w:hAnsi="Arial" w:cs="Arial"/>
                      <w:sz w:val="20"/>
                      <w:szCs w:val="20"/>
                    </w:rPr>
                    <w:t xml:space="preserve"> Typu 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min. </w:t>
                  </w:r>
                  <w:r w:rsidRPr="00B06F73">
                    <w:rPr>
                      <w:rFonts w:ascii="Arial" w:hAnsi="Arial" w:cs="Arial"/>
                      <w:sz w:val="20"/>
                      <w:szCs w:val="20"/>
                    </w:rPr>
                    <w:t>Windows 7 P</w:t>
                  </w:r>
                  <w:r w:rsidRPr="001B3107">
                    <w:rPr>
                      <w:rFonts w:ascii="Arial" w:hAnsi="Arial" w:cs="Arial"/>
                      <w:sz w:val="20"/>
                      <w:szCs w:val="20"/>
                    </w:rPr>
                    <w:t>rofessional 64 bit lub równoważne</w:t>
                  </w:r>
                </w:p>
                <w:p w:rsidR="00694AE8" w:rsidRPr="00C44A99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Min.  MS </w:t>
                  </w:r>
                  <w:r w:rsidRPr="00C44A99">
                    <w:rPr>
                      <w:rFonts w:ascii="Arial" w:hAnsi="Arial" w:cs="Arial"/>
                      <w:sz w:val="20"/>
                      <w:szCs w:val="20"/>
                    </w:rPr>
                    <w:t>Office Basic 2010 Basic PCK lub równoważne</w:t>
                  </w:r>
                </w:p>
                <w:p w:rsidR="00694AE8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Czytnik kart pamięci</w:t>
                  </w:r>
                </w:p>
                <w:p w:rsidR="00694AE8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Pamięć  RAM rozszerzalna do min. 16 GB</w:t>
                  </w:r>
                </w:p>
                <w:p w:rsidR="00694AE8" w:rsidRPr="00C217C5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Karta dźwiękowa </w:t>
                  </w:r>
                </w:p>
                <w:p w:rsidR="00694AE8" w:rsidRPr="00C217C5" w:rsidRDefault="00694AE8" w:rsidP="00D342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1A07" w:rsidRDefault="00A81A07" w:rsidP="006D226A">
            <w:pPr>
              <w:spacing w:line="276" w:lineRule="auto"/>
            </w:pPr>
          </w:p>
          <w:p w:rsidR="00A81A07" w:rsidRDefault="00A81A07" w:rsidP="006D226A">
            <w:pPr>
              <w:spacing w:line="276" w:lineRule="auto"/>
            </w:pPr>
          </w:p>
          <w:p w:rsidR="002D52A2" w:rsidRDefault="0090320A" w:rsidP="00694AE8">
            <w:pPr>
              <w:spacing w:line="276" w:lineRule="auto"/>
            </w:pPr>
            <w:r>
              <w:t>Wykonawca zobowiązany jest zapewnić przedmiot zamówienia nowy, nieuszkodzony oraz wolny od wad prawnych ( licencjonowane oprogramo</w:t>
            </w:r>
            <w:r w:rsidR="002323A7">
              <w:t>w</w:t>
            </w:r>
            <w:r>
              <w:t>anie).</w:t>
            </w:r>
          </w:p>
          <w:p w:rsidR="00694AE8" w:rsidRPr="007040A5" w:rsidRDefault="00694AE8" w:rsidP="00694AE8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4D68">
              <w:rPr>
                <w:rFonts w:ascii="Times New Roman" w:hAnsi="Times New Roman" w:cs="Times New Roman"/>
                <w:color w:val="auto"/>
              </w:rPr>
              <w:t xml:space="preserve">Dostarczenie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>
              <w:rPr>
                <w:rFonts w:ascii="Times New Roman" w:hAnsi="Times New Roman" w:cs="Times New Roman"/>
                <w:color w:val="auto"/>
              </w:rPr>
              <w:t xml:space="preserve"> do </w:t>
            </w:r>
            <w:r w:rsidR="00990AD2"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Pr="00D74957">
              <w:rPr>
                <w:rFonts w:ascii="Times New Roman" w:hAnsi="Times New Roman" w:cs="Times New Roman"/>
                <w:b/>
                <w:color w:val="auto"/>
              </w:rPr>
              <w:t>.03.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4E75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7A6E8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AA6A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.03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0245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4E753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dostawy serwera, laptopów, licencji, nr 6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4E753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07</w:t>
            </w:r>
            <w:r w:rsidR="007D16B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.03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7A6E8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</w:t>
            </w:r>
            <w:r w:rsidR="007D16B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AA6A0C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03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7A6E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AA6A0C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787C16">
              <w:rPr>
                <w:b/>
                <w:bCs/>
                <w:sz w:val="22"/>
                <w:szCs w:val="22"/>
              </w:rPr>
              <w:t>100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EE" w:rsidRDefault="007215EE" w:rsidP="009F29CD">
      <w:r>
        <w:separator/>
      </w:r>
    </w:p>
  </w:endnote>
  <w:endnote w:type="continuationSeparator" w:id="0">
    <w:p w:rsidR="007215EE" w:rsidRDefault="007215EE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EE" w:rsidRDefault="007215EE" w:rsidP="009F29CD">
      <w:r>
        <w:separator/>
      </w:r>
    </w:p>
  </w:footnote>
  <w:footnote w:type="continuationSeparator" w:id="0">
    <w:p w:rsidR="007215EE" w:rsidRDefault="007215EE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215EE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172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C22146">
                      <w:rPr>
                        <w:noProof/>
                      </w:rPr>
                      <w:t>7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A04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79EA"/>
    <w:rsid w:val="000245D9"/>
    <w:rsid w:val="00042872"/>
    <w:rsid w:val="000440F6"/>
    <w:rsid w:val="00061F72"/>
    <w:rsid w:val="00067C18"/>
    <w:rsid w:val="00075B2D"/>
    <w:rsid w:val="00090F96"/>
    <w:rsid w:val="000914BB"/>
    <w:rsid w:val="000916A0"/>
    <w:rsid w:val="00091F86"/>
    <w:rsid w:val="000D2250"/>
    <w:rsid w:val="000D48CF"/>
    <w:rsid w:val="000F657A"/>
    <w:rsid w:val="00102C0D"/>
    <w:rsid w:val="0010634D"/>
    <w:rsid w:val="0010667A"/>
    <w:rsid w:val="001162FB"/>
    <w:rsid w:val="001256C2"/>
    <w:rsid w:val="001425EB"/>
    <w:rsid w:val="00150C52"/>
    <w:rsid w:val="001519BC"/>
    <w:rsid w:val="001619A6"/>
    <w:rsid w:val="001875DE"/>
    <w:rsid w:val="00190D10"/>
    <w:rsid w:val="00197E60"/>
    <w:rsid w:val="001E5F89"/>
    <w:rsid w:val="001F048E"/>
    <w:rsid w:val="00200B10"/>
    <w:rsid w:val="002011D8"/>
    <w:rsid w:val="002035EC"/>
    <w:rsid w:val="002170AC"/>
    <w:rsid w:val="00217F01"/>
    <w:rsid w:val="002323A7"/>
    <w:rsid w:val="0023543C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26B6"/>
    <w:rsid w:val="002A6542"/>
    <w:rsid w:val="002B1CF4"/>
    <w:rsid w:val="002C52D1"/>
    <w:rsid w:val="002C6BBB"/>
    <w:rsid w:val="002D1D24"/>
    <w:rsid w:val="002D52A2"/>
    <w:rsid w:val="002F0334"/>
    <w:rsid w:val="00345BA4"/>
    <w:rsid w:val="00347123"/>
    <w:rsid w:val="003563EA"/>
    <w:rsid w:val="00387531"/>
    <w:rsid w:val="003A76BE"/>
    <w:rsid w:val="003C50A1"/>
    <w:rsid w:val="003C717F"/>
    <w:rsid w:val="003D66EA"/>
    <w:rsid w:val="003F710B"/>
    <w:rsid w:val="00424FB7"/>
    <w:rsid w:val="00433F13"/>
    <w:rsid w:val="00435586"/>
    <w:rsid w:val="00440499"/>
    <w:rsid w:val="00442477"/>
    <w:rsid w:val="004475C7"/>
    <w:rsid w:val="00455A21"/>
    <w:rsid w:val="004613E6"/>
    <w:rsid w:val="00477C9F"/>
    <w:rsid w:val="00477E70"/>
    <w:rsid w:val="00480A59"/>
    <w:rsid w:val="004D0B9E"/>
    <w:rsid w:val="004D540D"/>
    <w:rsid w:val="004D7743"/>
    <w:rsid w:val="004E753A"/>
    <w:rsid w:val="00504A73"/>
    <w:rsid w:val="00511509"/>
    <w:rsid w:val="005172C0"/>
    <w:rsid w:val="00520D6E"/>
    <w:rsid w:val="00526043"/>
    <w:rsid w:val="00533EB5"/>
    <w:rsid w:val="00547C35"/>
    <w:rsid w:val="00566244"/>
    <w:rsid w:val="00570CB1"/>
    <w:rsid w:val="00570F27"/>
    <w:rsid w:val="005959D5"/>
    <w:rsid w:val="005A56D3"/>
    <w:rsid w:val="005C64BA"/>
    <w:rsid w:val="005D46DB"/>
    <w:rsid w:val="005F3377"/>
    <w:rsid w:val="0060730D"/>
    <w:rsid w:val="00633728"/>
    <w:rsid w:val="006414EE"/>
    <w:rsid w:val="006453DB"/>
    <w:rsid w:val="006513E5"/>
    <w:rsid w:val="00676048"/>
    <w:rsid w:val="0068631D"/>
    <w:rsid w:val="00694AE8"/>
    <w:rsid w:val="006C4061"/>
    <w:rsid w:val="006D19CB"/>
    <w:rsid w:val="006D226A"/>
    <w:rsid w:val="006D7B79"/>
    <w:rsid w:val="006E0C68"/>
    <w:rsid w:val="00700616"/>
    <w:rsid w:val="007040A5"/>
    <w:rsid w:val="007045AF"/>
    <w:rsid w:val="0071360E"/>
    <w:rsid w:val="007215EE"/>
    <w:rsid w:val="007226AF"/>
    <w:rsid w:val="007357D6"/>
    <w:rsid w:val="00754D3A"/>
    <w:rsid w:val="00754F00"/>
    <w:rsid w:val="007705C1"/>
    <w:rsid w:val="00787C16"/>
    <w:rsid w:val="007A0522"/>
    <w:rsid w:val="007A6E8B"/>
    <w:rsid w:val="007D16BA"/>
    <w:rsid w:val="007E3685"/>
    <w:rsid w:val="007F016F"/>
    <w:rsid w:val="007F1258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8516B"/>
    <w:rsid w:val="00886D17"/>
    <w:rsid w:val="00891834"/>
    <w:rsid w:val="008A0FF2"/>
    <w:rsid w:val="008B1230"/>
    <w:rsid w:val="008B4098"/>
    <w:rsid w:val="008C21E4"/>
    <w:rsid w:val="008C64DB"/>
    <w:rsid w:val="008E6966"/>
    <w:rsid w:val="0090320A"/>
    <w:rsid w:val="00905E6D"/>
    <w:rsid w:val="00906386"/>
    <w:rsid w:val="00917882"/>
    <w:rsid w:val="009319FD"/>
    <w:rsid w:val="00940DDA"/>
    <w:rsid w:val="0094766C"/>
    <w:rsid w:val="00990AD2"/>
    <w:rsid w:val="009A03D2"/>
    <w:rsid w:val="009A1A56"/>
    <w:rsid w:val="009A37CC"/>
    <w:rsid w:val="009A7AFC"/>
    <w:rsid w:val="009C69F2"/>
    <w:rsid w:val="009D0BB4"/>
    <w:rsid w:val="009D5405"/>
    <w:rsid w:val="009E6D7E"/>
    <w:rsid w:val="009F29CD"/>
    <w:rsid w:val="00A058E0"/>
    <w:rsid w:val="00A368C8"/>
    <w:rsid w:val="00A40BF8"/>
    <w:rsid w:val="00A4745B"/>
    <w:rsid w:val="00A635F8"/>
    <w:rsid w:val="00A802B1"/>
    <w:rsid w:val="00A81A07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2312"/>
    <w:rsid w:val="00B07C9A"/>
    <w:rsid w:val="00B14624"/>
    <w:rsid w:val="00B6271D"/>
    <w:rsid w:val="00B91A8A"/>
    <w:rsid w:val="00B956B3"/>
    <w:rsid w:val="00BA0561"/>
    <w:rsid w:val="00BA0D1C"/>
    <w:rsid w:val="00BC71FB"/>
    <w:rsid w:val="00BE7A15"/>
    <w:rsid w:val="00BF5D37"/>
    <w:rsid w:val="00C01BA2"/>
    <w:rsid w:val="00C07FAF"/>
    <w:rsid w:val="00C22146"/>
    <w:rsid w:val="00C26024"/>
    <w:rsid w:val="00C447A8"/>
    <w:rsid w:val="00C51642"/>
    <w:rsid w:val="00C833AF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D00F1A"/>
    <w:rsid w:val="00D07058"/>
    <w:rsid w:val="00D07275"/>
    <w:rsid w:val="00D4210E"/>
    <w:rsid w:val="00D60E76"/>
    <w:rsid w:val="00D63D12"/>
    <w:rsid w:val="00D64430"/>
    <w:rsid w:val="00D74957"/>
    <w:rsid w:val="00D8347B"/>
    <w:rsid w:val="00DA558E"/>
    <w:rsid w:val="00DC5FDF"/>
    <w:rsid w:val="00DE0EB1"/>
    <w:rsid w:val="00E1267C"/>
    <w:rsid w:val="00E171B1"/>
    <w:rsid w:val="00E263E0"/>
    <w:rsid w:val="00E273FD"/>
    <w:rsid w:val="00E35253"/>
    <w:rsid w:val="00E530A7"/>
    <w:rsid w:val="00E61E0F"/>
    <w:rsid w:val="00E84E65"/>
    <w:rsid w:val="00E92752"/>
    <w:rsid w:val="00EB5E96"/>
    <w:rsid w:val="00EC731B"/>
    <w:rsid w:val="00EE778B"/>
    <w:rsid w:val="00F01428"/>
    <w:rsid w:val="00F04FAB"/>
    <w:rsid w:val="00F173A9"/>
    <w:rsid w:val="00F26CEE"/>
    <w:rsid w:val="00F362D1"/>
    <w:rsid w:val="00F368F7"/>
    <w:rsid w:val="00F47144"/>
    <w:rsid w:val="00F60779"/>
    <w:rsid w:val="00F828C2"/>
    <w:rsid w:val="00F845AF"/>
    <w:rsid w:val="00FA177D"/>
    <w:rsid w:val="00FC0F02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ig@onet.pl,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9B3B-09A4-44F4-ACDA-AC80994C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218</cp:revision>
  <cp:lastPrinted>2013-02-08T10:22:00Z</cp:lastPrinted>
  <dcterms:created xsi:type="dcterms:W3CDTF">2013-01-09T09:30:00Z</dcterms:created>
  <dcterms:modified xsi:type="dcterms:W3CDTF">2013-03-07T12:42:00Z</dcterms:modified>
</cp:coreProperties>
</file>