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6A35" w14:textId="35EF3EA2" w:rsidR="00241622" w:rsidRPr="00241622" w:rsidRDefault="00241622" w:rsidP="00241622">
      <w:r>
        <w:t xml:space="preserve">                                                                                                        </w:t>
      </w:r>
    </w:p>
    <w:p w14:paraId="5BCAA2AB" w14:textId="3E0762C8" w:rsidR="00241622" w:rsidRPr="00241622" w:rsidRDefault="00241622" w:rsidP="00241622">
      <w:pPr>
        <w:jc w:val="right"/>
        <w:rPr>
          <w:i/>
          <w:iCs/>
        </w:rPr>
      </w:pPr>
      <w:r w:rsidRPr="00241622">
        <w:rPr>
          <w:i/>
          <w:iCs/>
        </w:rPr>
        <w:t>Załącznik nr 2 do Umowy pożyczki</w:t>
      </w:r>
    </w:p>
    <w:p w14:paraId="18342A81" w14:textId="29561494" w:rsidR="00241622" w:rsidRDefault="00241622" w:rsidP="00241622">
      <w:pPr>
        <w:jc w:val="center"/>
        <w:rPr>
          <w:b/>
          <w:bCs/>
        </w:rPr>
      </w:pPr>
    </w:p>
    <w:p w14:paraId="66604C94" w14:textId="77777777" w:rsidR="00E754BF" w:rsidRDefault="00E754BF" w:rsidP="00241622">
      <w:pPr>
        <w:jc w:val="center"/>
        <w:rPr>
          <w:b/>
          <w:bCs/>
        </w:rPr>
      </w:pPr>
    </w:p>
    <w:p w14:paraId="0B4A138E" w14:textId="244F5116" w:rsidR="00241622" w:rsidRDefault="00241622" w:rsidP="00241622">
      <w:pPr>
        <w:jc w:val="center"/>
        <w:rPr>
          <w:b/>
          <w:bCs/>
        </w:rPr>
      </w:pPr>
      <w:r w:rsidRPr="00241622">
        <w:rPr>
          <w:b/>
          <w:bCs/>
        </w:rPr>
        <w:t>Karta Produktu Pożyczka Płynnościowa</w:t>
      </w:r>
    </w:p>
    <w:p w14:paraId="11E671A4" w14:textId="77777777" w:rsidR="00241622" w:rsidRPr="00241622" w:rsidRDefault="00241622" w:rsidP="00241622">
      <w:pPr>
        <w:jc w:val="center"/>
      </w:pPr>
    </w:p>
    <w:p w14:paraId="33DCF6AB" w14:textId="77777777" w:rsidR="00241622" w:rsidRPr="00241622" w:rsidRDefault="00241622" w:rsidP="00241622">
      <w:r w:rsidRPr="00241622">
        <w:rPr>
          <w:b/>
          <w:bCs/>
        </w:rPr>
        <w:t xml:space="preserve">I. Podstawowe parametry Pożyczki Płynnościowej </w:t>
      </w:r>
    </w:p>
    <w:p w14:paraId="3EEFCDEC" w14:textId="77777777" w:rsidR="00241622" w:rsidRPr="00241622" w:rsidRDefault="00241622" w:rsidP="00241622">
      <w:r w:rsidRPr="00241622">
        <w:t xml:space="preserve">1. Wartość Pożyczki wynosi do 600 tys. zł. </w:t>
      </w:r>
    </w:p>
    <w:p w14:paraId="10BB9B5F" w14:textId="77777777" w:rsidR="00241622" w:rsidRPr="00241622" w:rsidRDefault="00241622" w:rsidP="00241622">
      <w:r w:rsidRPr="00241622">
        <w:t xml:space="preserve">2. Wkład własny Pożyczkobiorcy nie jest wymagany. </w:t>
      </w:r>
    </w:p>
    <w:p w14:paraId="08444DAD" w14:textId="77777777" w:rsidR="00241622" w:rsidRPr="00241622" w:rsidRDefault="00241622" w:rsidP="00241622">
      <w:pPr>
        <w:jc w:val="both"/>
      </w:pPr>
      <w:r w:rsidRPr="00241622">
        <w:t xml:space="preserve">3. Maksymalny termin na wypłatę całkowitej kwoty Pożyczki przez Regionalną Izbę Gospodarczą wynosi 90 dni kalendarzowych od dnia zawarcia umowy Pożyczki, bez względu na liczbę transz w jakich jest ona wypłacana. W odpowiednio uzasadnionych przypadkach, Regionalna Izba Gospodarcza może wydłużyć termin na wypłatę środków pożyczki. </w:t>
      </w:r>
    </w:p>
    <w:p w14:paraId="3F64A83C" w14:textId="77777777" w:rsidR="00241622" w:rsidRPr="00241622" w:rsidRDefault="00241622" w:rsidP="00241622">
      <w:pPr>
        <w:jc w:val="both"/>
      </w:pPr>
      <w:r w:rsidRPr="00241622">
        <w:t xml:space="preserve">4. Maksymalny okres spłaty Pożyczki nie może być dłuższy niż 72 miesiące, od momentu jej uruchomienia, tj. wypłaty jakiejkolwiek kwoty Pożyczki. </w:t>
      </w:r>
    </w:p>
    <w:p w14:paraId="1396DD17" w14:textId="77777777" w:rsidR="00241622" w:rsidRPr="00241622" w:rsidRDefault="00241622" w:rsidP="00241622">
      <w:pPr>
        <w:jc w:val="both"/>
      </w:pPr>
      <w:r w:rsidRPr="00241622">
        <w:t xml:space="preserve">5. Maksymalna karencja podstawowa w spłacie rat kapitałowo-odsetkowych Pożyczki wynosi 6 miesięcy od dnia jej uruchomienia, przy czym karencja wydłuża okres spłaty Pożyczki, z zastrzeżeniem </w:t>
      </w:r>
      <w:proofErr w:type="spellStart"/>
      <w:r w:rsidRPr="00241622">
        <w:t>ppkt</w:t>
      </w:r>
      <w:proofErr w:type="spellEnd"/>
      <w:r w:rsidRPr="00241622">
        <w:t xml:space="preserve"> 4. Skorzystanie z karencji w spłacie rat kapitałowo-odsetkowych nie wyklucza Pożyczkobiorcy z możliwości ubiegania się o udzielenie wakacji kredytowych zgodnie z </w:t>
      </w:r>
      <w:proofErr w:type="spellStart"/>
      <w:r w:rsidRPr="00241622">
        <w:t>ppkt</w:t>
      </w:r>
      <w:proofErr w:type="spellEnd"/>
      <w:r w:rsidRPr="00241622">
        <w:t xml:space="preserve"> 6. </w:t>
      </w:r>
    </w:p>
    <w:p w14:paraId="1DAC8649" w14:textId="77777777" w:rsidR="00241622" w:rsidRPr="00241622" w:rsidRDefault="00241622" w:rsidP="00241622">
      <w:pPr>
        <w:jc w:val="both"/>
      </w:pPr>
      <w:r w:rsidRPr="00241622">
        <w:t xml:space="preserve">6. Raz do roku na 2 miesiące, w pierwszym i drugim roku okresu spłaty Pożyczki, Regionalna Izba Gospodarcza może udzielić Pożyczkobiorcy podstawowych wakacji kredytowych w spłacie rat kapitałowo-odsetkowych, przy czym okres wakacji wydłuża okres spłaty Pożyczki, z zastrzeżeniem </w:t>
      </w:r>
      <w:proofErr w:type="spellStart"/>
      <w:r w:rsidRPr="00241622">
        <w:t>ppkt</w:t>
      </w:r>
      <w:proofErr w:type="spellEnd"/>
      <w:r w:rsidRPr="00241622">
        <w:t xml:space="preserve"> 4. </w:t>
      </w:r>
    </w:p>
    <w:p w14:paraId="7EA86A91" w14:textId="77777777" w:rsidR="00241622" w:rsidRPr="00241622" w:rsidRDefault="00241622" w:rsidP="00241622">
      <w:pPr>
        <w:jc w:val="both"/>
      </w:pPr>
      <w:r w:rsidRPr="00241622">
        <w:t xml:space="preserve">7. Pośrednik Finansowy, w związku ze skutkami pandemii COVID-19, ma możliwość udzielenia, zarówno w przypadku już zawartych, jak i nowych Umów Inwestycyjnych: </w:t>
      </w:r>
    </w:p>
    <w:p w14:paraId="7EFEDD5F" w14:textId="79E4DB83" w:rsidR="00241622" w:rsidRPr="00241622" w:rsidRDefault="00241622" w:rsidP="00241622">
      <w:r>
        <w:t xml:space="preserve">       </w:t>
      </w:r>
      <w:r w:rsidRPr="00241622">
        <w:t xml:space="preserve">1) dodatkowej karencji w spłacie zobowiązań, na następujących warunkach: </w:t>
      </w:r>
    </w:p>
    <w:p w14:paraId="127F8FD5" w14:textId="77777777" w:rsidR="00241622" w:rsidRPr="00241622" w:rsidRDefault="00241622" w:rsidP="00241622">
      <w:pPr>
        <w:ind w:firstLine="708"/>
      </w:pPr>
      <w:r w:rsidRPr="00241622">
        <w:t xml:space="preserve">a) karencja obejmuje spłatę kapitału i odsetek, </w:t>
      </w:r>
    </w:p>
    <w:p w14:paraId="42BD9DD8" w14:textId="77777777" w:rsidR="00241622" w:rsidRPr="00241622" w:rsidRDefault="00241622" w:rsidP="00241622">
      <w:pPr>
        <w:ind w:left="708"/>
      </w:pPr>
      <w:r w:rsidRPr="00241622">
        <w:t xml:space="preserve">b) karencja jest możliwa do zastosowania w przypadku, w którym nie nastąpiła jeszcze jakakolwiek spłata kapitału Jednostkowej Pożyczki, </w:t>
      </w:r>
    </w:p>
    <w:p w14:paraId="7F5D3B89" w14:textId="77777777" w:rsidR="00241622" w:rsidRPr="00241622" w:rsidRDefault="00241622" w:rsidP="00241622">
      <w:pPr>
        <w:ind w:firstLine="708"/>
      </w:pPr>
      <w:r w:rsidRPr="00241622">
        <w:t xml:space="preserve">c) karencja trwa maksymalnie do dnia 30 czerwca 2021 r., </w:t>
      </w:r>
    </w:p>
    <w:p w14:paraId="36C1EF54" w14:textId="5877C33D" w:rsidR="00241622" w:rsidRDefault="00241622" w:rsidP="00241622">
      <w:pPr>
        <w:ind w:left="708"/>
      </w:pPr>
      <w:r w:rsidRPr="00241622">
        <w:lastRenderedPageBreak/>
        <w:t xml:space="preserve">d) możliwość wydłużenia okresu finansowania o czas dodatkowej karencji, z zastrzeżeniem </w:t>
      </w:r>
      <w:proofErr w:type="spellStart"/>
      <w:r w:rsidRPr="00241622">
        <w:t>ppkt</w:t>
      </w:r>
      <w:proofErr w:type="spellEnd"/>
      <w:r w:rsidRPr="00241622">
        <w:t xml:space="preserve"> 4; </w:t>
      </w:r>
    </w:p>
    <w:p w14:paraId="5D5BECB7" w14:textId="7123A762" w:rsidR="00241622" w:rsidRDefault="00241622" w:rsidP="00241622">
      <w:r>
        <w:t xml:space="preserve">                                                                                                      </w:t>
      </w:r>
    </w:p>
    <w:p w14:paraId="3830FA67" w14:textId="44182EB4" w:rsidR="00241622" w:rsidRPr="00241622" w:rsidRDefault="00241622" w:rsidP="0064516D">
      <w:pPr>
        <w:jc w:val="both"/>
      </w:pPr>
      <w:r>
        <w:t xml:space="preserve">   </w:t>
      </w:r>
      <w:r w:rsidRPr="00241622">
        <w:t xml:space="preserve">2) dodatkowych wakacji kredytowych, na następujących warunkach: </w:t>
      </w:r>
    </w:p>
    <w:p w14:paraId="4A030BAC" w14:textId="77777777" w:rsidR="00241622" w:rsidRPr="00241622" w:rsidRDefault="00241622" w:rsidP="0064516D">
      <w:pPr>
        <w:ind w:firstLine="708"/>
        <w:jc w:val="both"/>
      </w:pPr>
      <w:r w:rsidRPr="00241622">
        <w:t xml:space="preserve">a) wakacje kredytowe obejmują spłatę kapitału i odsetek, </w:t>
      </w:r>
    </w:p>
    <w:p w14:paraId="71E39F8C" w14:textId="77777777" w:rsidR="00241622" w:rsidRPr="00241622" w:rsidRDefault="00241622" w:rsidP="0064516D">
      <w:pPr>
        <w:ind w:left="708"/>
        <w:jc w:val="both"/>
      </w:pPr>
      <w:r w:rsidRPr="00241622">
        <w:t xml:space="preserve">b) wakacje kredytowe są możliwe do zastosowania w przypadku, w którym Jednostkowa Pożyczka znajduje się na etapie spłaty, </w:t>
      </w:r>
    </w:p>
    <w:p w14:paraId="16ED29CB" w14:textId="17B5DBF9" w:rsidR="00241622" w:rsidRPr="00241622" w:rsidRDefault="00241622" w:rsidP="0064516D">
      <w:pPr>
        <w:ind w:firstLine="708"/>
        <w:jc w:val="both"/>
      </w:pPr>
      <w:r w:rsidRPr="00241622">
        <w:t xml:space="preserve">c) wakacje kredytowe trwają maksymalnie do dnia 30 czerwca 2021 r., </w:t>
      </w:r>
    </w:p>
    <w:p w14:paraId="236900B4" w14:textId="77777777" w:rsidR="00241622" w:rsidRPr="00241622" w:rsidRDefault="00241622" w:rsidP="0064516D">
      <w:pPr>
        <w:ind w:left="708"/>
        <w:jc w:val="both"/>
      </w:pPr>
      <w:r w:rsidRPr="00241622">
        <w:t xml:space="preserve">d) możliwość wydłużenia okresu finansowania o czas dodatkowych wakacji kredytowych, z zastrzeżeniem </w:t>
      </w:r>
      <w:proofErr w:type="spellStart"/>
      <w:r w:rsidRPr="00241622">
        <w:t>ppkt</w:t>
      </w:r>
      <w:proofErr w:type="spellEnd"/>
      <w:r w:rsidRPr="00241622">
        <w:t xml:space="preserve"> 4; </w:t>
      </w:r>
    </w:p>
    <w:p w14:paraId="0E4CB676" w14:textId="77777777" w:rsidR="00241622" w:rsidRPr="00241622" w:rsidRDefault="00241622" w:rsidP="0064516D">
      <w:pPr>
        <w:jc w:val="both"/>
      </w:pPr>
      <w:r w:rsidRPr="00241622">
        <w:t xml:space="preserve">8. Rozwiązania, o których mowa w </w:t>
      </w:r>
      <w:proofErr w:type="spellStart"/>
      <w:r w:rsidRPr="00241622">
        <w:t>ppkt</w:t>
      </w:r>
      <w:proofErr w:type="spellEnd"/>
      <w:r w:rsidRPr="00241622">
        <w:t xml:space="preserve"> 7 mają charakter dodatkowy w stosunku do już funkcjonujących rozwiązań wprowadzonych w Umowie, a zatem mogą być z nimi łączone. </w:t>
      </w:r>
    </w:p>
    <w:p w14:paraId="300081C5" w14:textId="1766A94D" w:rsidR="00241622" w:rsidRDefault="00241622" w:rsidP="0064516D">
      <w:pPr>
        <w:jc w:val="both"/>
      </w:pPr>
      <w:r w:rsidRPr="00241622">
        <w:t xml:space="preserve">9. Zastosowanie rozwiązań, o których mowa w </w:t>
      </w:r>
      <w:proofErr w:type="spellStart"/>
      <w:r w:rsidRPr="00241622">
        <w:t>ppkt</w:t>
      </w:r>
      <w:proofErr w:type="spellEnd"/>
      <w:r w:rsidRPr="00241622">
        <w:t xml:space="preserve"> 7 w poszczególnych Jednostkowych Pożyczkach zależy od decyzji Pośrednika Finansowego podjętej na podstawie indywidualnej oceny wpływu pandemii na sytuację danego Ostatecznego Odbiorcy, dokonywanej z poszanowaniem zasady niedyskryminacji. </w:t>
      </w:r>
    </w:p>
    <w:p w14:paraId="5879B927" w14:textId="77777777" w:rsidR="00E754BF" w:rsidRPr="00241622" w:rsidRDefault="00E754BF" w:rsidP="0064516D">
      <w:pPr>
        <w:jc w:val="both"/>
      </w:pPr>
    </w:p>
    <w:p w14:paraId="1E7F1F30" w14:textId="77777777" w:rsidR="00241622" w:rsidRPr="00241622" w:rsidRDefault="00241622" w:rsidP="0064516D">
      <w:pPr>
        <w:jc w:val="both"/>
      </w:pPr>
      <w:r w:rsidRPr="00241622">
        <w:rPr>
          <w:b/>
          <w:bCs/>
        </w:rPr>
        <w:t xml:space="preserve">II. Zasady dotyczące udzielania i udokumentowania Pożyczki Płynnościowej </w:t>
      </w:r>
    </w:p>
    <w:p w14:paraId="0DDC25E5" w14:textId="77777777" w:rsidR="00241622" w:rsidRPr="00241622" w:rsidRDefault="00241622" w:rsidP="0064516D">
      <w:pPr>
        <w:jc w:val="both"/>
      </w:pPr>
      <w:r w:rsidRPr="00241622">
        <w:t xml:space="preserve">1. Udzielenie Pożyczki nie może być uzależnione od zawarcia przez Pożyczkobiorcę dodatkowych umów (w szczególności dotyczących zakupu dodatkowych usług, produktów finansowych lub ubezpieczeniowych) z Regionalną Izbą Gospodarczą lub podmiotem partnerskim lub powiązanym w stosunku do Regionalnej Izby Gospodarczej; powyższe nie dotyczy powszechnie występujących na rynku oraz standardowo stosowanych przez Regionalną Izbę Gospodarczą zabezpieczeń ustanawianych przez Pożyczkobiorcę na rzecz Regionalnej Izby Gospodarczej. w związku z zawieraną umową Pożyczki, z zastrzeżeniem, iż w przypadku zabezpieczenia takiego jak „cesja praw z polisy ubezpieczeniowej” Pożyczkobiorca ma możliwość wyboru oferty spośród ubezpieczycieli dostępnych na rynku. </w:t>
      </w:r>
    </w:p>
    <w:p w14:paraId="51A6712C" w14:textId="77777777" w:rsidR="00241622" w:rsidRPr="00241622" w:rsidRDefault="00241622" w:rsidP="0064516D">
      <w:pPr>
        <w:jc w:val="both"/>
      </w:pPr>
      <w:r w:rsidRPr="00241622">
        <w:t xml:space="preserve">2. Wydatkowanie środków Pożyczki musi zostać należycie udokumentowane w terminie do 180 dni od dnia wypłaty całkowitej kwoty Pożyczki, przy czym termin ten dotyczy daty wystawienia dokumentów potwierdzających wydatkowanie środków. W uzasadnionych przypadkach, na wniosek Pożyczkobiorcy Regionalna Izba Gospodarcza może zaakceptować wydłużenie tego terminu maksymalnie o kolejne 180. </w:t>
      </w:r>
    </w:p>
    <w:p w14:paraId="79507A8D" w14:textId="77777777" w:rsidR="00241622" w:rsidRPr="00241622" w:rsidRDefault="00241622" w:rsidP="0064516D">
      <w:pPr>
        <w:jc w:val="both"/>
      </w:pPr>
      <w:r w:rsidRPr="00241622">
        <w:t xml:space="preserve">3. Dokumentem potwierdzającym wydatkowanie środków zgodnie z celem, na jaki zostały przyznane jest faktura lub dokument równoważny w rozumieniu przepisów prawa krajowego. </w:t>
      </w:r>
    </w:p>
    <w:p w14:paraId="1F7A5DB3" w14:textId="77777777" w:rsidR="00241622" w:rsidRPr="00241622" w:rsidRDefault="00241622" w:rsidP="0064516D">
      <w:pPr>
        <w:jc w:val="both"/>
      </w:pPr>
      <w:r w:rsidRPr="00241622">
        <w:lastRenderedPageBreak/>
        <w:t xml:space="preserve">4. Wszelka dokumentacja potwierdzająca wydatkowanie środków przez Pożyczkobiorcę powinna być, co do zasady, sporządzona w języku polskim, a w przypadku dokumentów wystawianych w języku innym niż język polski, powinna zostać przetłumaczona na język polski przez Pożyczkobiorcę lub na jego zlecenie. </w:t>
      </w:r>
    </w:p>
    <w:p w14:paraId="346953DA" w14:textId="77777777" w:rsidR="00241622" w:rsidRPr="00241622" w:rsidRDefault="00241622" w:rsidP="00241622"/>
    <w:p w14:paraId="47C29209" w14:textId="77777777" w:rsidR="00241622" w:rsidRPr="00241622" w:rsidRDefault="00241622" w:rsidP="00241622">
      <w:r w:rsidRPr="00241622">
        <w:rPr>
          <w:b/>
          <w:bCs/>
        </w:rPr>
        <w:t xml:space="preserve">III. Przeznaczenie finansowania (Cele Inwestycji) </w:t>
      </w:r>
    </w:p>
    <w:p w14:paraId="0E6933D2" w14:textId="77777777" w:rsidR="00241622" w:rsidRPr="00241622" w:rsidRDefault="00241622" w:rsidP="0064516D">
      <w:pPr>
        <w:jc w:val="both"/>
      </w:pPr>
      <w:r w:rsidRPr="00241622">
        <w:t xml:space="preserve">1. Pożyczki przeznaczone są na wsparcie mikro, małych i średnich przedsiębiorstw z terenu województwa podkarpackiego w celu zapewnienia finansowania płynnościowego w związku z negatywnymi konsekwencjami spowodowanymi epidemią COVID-19. W ramach Pożyczki finansowane będą wydatki związane z utrzymaniem bieżącej działalności firmy i zapewnieniem jej płynności finansowej. </w:t>
      </w:r>
    </w:p>
    <w:p w14:paraId="577004AC" w14:textId="36C4A956" w:rsidR="00241622" w:rsidRPr="00241622" w:rsidRDefault="00241622" w:rsidP="0064516D">
      <w:pPr>
        <w:jc w:val="both"/>
      </w:pPr>
      <w:r w:rsidRPr="00241622">
        <w:t xml:space="preserve">2. Środki z Pożyczki mogą zostać przeznaczone na wydatki bieżące, obrotowe, w tym np.: </w:t>
      </w:r>
    </w:p>
    <w:p w14:paraId="7F70196A" w14:textId="77777777" w:rsidR="00241622" w:rsidRPr="00241622" w:rsidRDefault="00241622" w:rsidP="0064516D">
      <w:pPr>
        <w:ind w:firstLine="708"/>
        <w:jc w:val="both"/>
      </w:pPr>
      <w:r w:rsidRPr="00241622">
        <w:t xml:space="preserve">1) wynagrodzenia pracowników (w tym także składowe należne ZUS, US), </w:t>
      </w:r>
    </w:p>
    <w:p w14:paraId="0A8BFD09" w14:textId="15F9B935" w:rsidR="00241622" w:rsidRPr="00241622" w:rsidRDefault="00241622" w:rsidP="0064516D">
      <w:pPr>
        <w:ind w:firstLine="708"/>
        <w:jc w:val="both"/>
      </w:pPr>
      <w:r w:rsidRPr="00241622">
        <w:t>2) zobowiązania publiczno-prawne Ostatecznego Odbiorcy</w:t>
      </w:r>
      <w:r w:rsidR="0064516D">
        <w:rPr>
          <w:rStyle w:val="Odwoanieprzypisudolnego"/>
        </w:rPr>
        <w:footnoteReference w:id="1"/>
      </w:r>
      <w:r w:rsidRPr="00241622">
        <w:t xml:space="preserve">, </w:t>
      </w:r>
    </w:p>
    <w:p w14:paraId="3776E9C2" w14:textId="77777777" w:rsidR="00241622" w:rsidRPr="00241622" w:rsidRDefault="00241622" w:rsidP="0064516D">
      <w:pPr>
        <w:ind w:firstLine="708"/>
        <w:jc w:val="both"/>
      </w:pPr>
      <w:r w:rsidRPr="00241622">
        <w:t xml:space="preserve">3) spłatę zobowiązań handlowych, pokrycie kosztów użytkowania infrastruktury itp., </w:t>
      </w:r>
    </w:p>
    <w:p w14:paraId="67F286C0" w14:textId="77777777" w:rsidR="00241622" w:rsidRPr="00241622" w:rsidRDefault="00241622" w:rsidP="0064516D">
      <w:pPr>
        <w:ind w:firstLine="708"/>
        <w:jc w:val="both"/>
      </w:pPr>
      <w:r w:rsidRPr="00241622">
        <w:t xml:space="preserve">4) </w:t>
      </w:r>
      <w:proofErr w:type="spellStart"/>
      <w:r w:rsidRPr="00241622">
        <w:t>zatowarowanie</w:t>
      </w:r>
      <w:proofErr w:type="spellEnd"/>
      <w:r w:rsidRPr="00241622">
        <w:t xml:space="preserve">, półprodukty itp., </w:t>
      </w:r>
    </w:p>
    <w:p w14:paraId="5E285455" w14:textId="77777777" w:rsidR="00241622" w:rsidRPr="00241622" w:rsidRDefault="00241622" w:rsidP="0064516D">
      <w:pPr>
        <w:ind w:firstLine="708"/>
        <w:jc w:val="both"/>
      </w:pPr>
      <w:r w:rsidRPr="00241622">
        <w:t xml:space="preserve">5) wydatki niezbędne do zapewnienia ciągłości działania Odbiorcy. </w:t>
      </w:r>
    </w:p>
    <w:p w14:paraId="4C381FE3" w14:textId="77777777" w:rsidR="00241622" w:rsidRPr="00241622" w:rsidRDefault="00241622" w:rsidP="0064516D">
      <w:pPr>
        <w:jc w:val="both"/>
      </w:pPr>
      <w:r w:rsidRPr="00241622">
        <w:t xml:space="preserve">3. Z Pożyczki finansowane są wydatki w kwotach brutto tj. z podatkiem VAT, bez względu na to, czy Pożyczkobiorca ma prawną możliwość odzyskania naliczonego podatku VAT. </w:t>
      </w:r>
    </w:p>
    <w:p w14:paraId="202C2D98" w14:textId="77777777" w:rsidR="00241622" w:rsidRPr="00241622" w:rsidRDefault="00241622" w:rsidP="0064516D">
      <w:pPr>
        <w:jc w:val="both"/>
      </w:pPr>
    </w:p>
    <w:p w14:paraId="315F1F30" w14:textId="77777777" w:rsidR="00241622" w:rsidRPr="00241622" w:rsidRDefault="00241622" w:rsidP="0064516D">
      <w:pPr>
        <w:jc w:val="both"/>
      </w:pPr>
      <w:r w:rsidRPr="00241622">
        <w:rPr>
          <w:b/>
          <w:bCs/>
        </w:rPr>
        <w:t xml:space="preserve">IV. Wykluczenia z finansowania </w:t>
      </w:r>
    </w:p>
    <w:p w14:paraId="293C3361" w14:textId="77777777" w:rsidR="00241622" w:rsidRPr="00241622" w:rsidRDefault="00241622" w:rsidP="0064516D">
      <w:pPr>
        <w:jc w:val="both"/>
      </w:pPr>
      <w:r w:rsidRPr="00241622">
        <w:t xml:space="preserve">1. Środki z Pożyczki nie mogą być przeznaczone na: </w:t>
      </w:r>
    </w:p>
    <w:p w14:paraId="058BD9E6" w14:textId="77777777" w:rsidR="00241622" w:rsidRPr="00241622" w:rsidRDefault="00241622" w:rsidP="0064516D">
      <w:pPr>
        <w:ind w:left="708"/>
        <w:jc w:val="both"/>
      </w:pPr>
      <w:r w:rsidRPr="00241622">
        <w:t xml:space="preserve">1) finansowanie wydatków pokrytych uprzednio ze środków EFSI, z innych funduszy, programów, środków i instrumentów Unii Europejskiej lub innych źródeł pomocy krajowej lub zagranicznej; </w:t>
      </w:r>
    </w:p>
    <w:p w14:paraId="6132EEDF" w14:textId="77777777" w:rsidR="00241622" w:rsidRPr="00241622" w:rsidRDefault="00241622" w:rsidP="0064516D">
      <w:pPr>
        <w:ind w:left="708"/>
        <w:jc w:val="both"/>
      </w:pPr>
      <w:r w:rsidRPr="00241622">
        <w:t xml:space="preserve">2) prefinansowanie wydatków, na które otrzymano dofinansowanie w formie dotacji lub pomocy zwrotnej; </w:t>
      </w:r>
    </w:p>
    <w:p w14:paraId="7A02C231" w14:textId="77777777" w:rsidR="00241622" w:rsidRPr="00241622" w:rsidRDefault="00241622" w:rsidP="0064516D">
      <w:pPr>
        <w:ind w:left="708"/>
        <w:jc w:val="both"/>
      </w:pPr>
      <w:r w:rsidRPr="00241622">
        <w:lastRenderedPageBreak/>
        <w:t xml:space="preserve">3) refinansowanie całości lub części wydatków, które na dzień złożenia wniosku o udzielenie Pożyczki zostały już poniesione (tj. opłacone); </w:t>
      </w:r>
    </w:p>
    <w:p w14:paraId="56E0C231" w14:textId="77777777" w:rsidR="00241622" w:rsidRPr="00241622" w:rsidRDefault="00241622" w:rsidP="0064516D">
      <w:pPr>
        <w:ind w:firstLine="708"/>
        <w:jc w:val="both"/>
      </w:pPr>
      <w:r w:rsidRPr="00241622">
        <w:t xml:space="preserve">4) refinansowanie jakichkolwiek pożyczek, kredytów lub rat leasingowych; </w:t>
      </w:r>
    </w:p>
    <w:p w14:paraId="0786BD54" w14:textId="77777777" w:rsidR="00241622" w:rsidRPr="00241622" w:rsidRDefault="00241622" w:rsidP="0064516D">
      <w:pPr>
        <w:ind w:firstLine="708"/>
        <w:jc w:val="both"/>
      </w:pPr>
      <w:r w:rsidRPr="00241622">
        <w:t xml:space="preserve">5) finansowanie wydatków niezwiązanych bezpośrednio z Celem Inwestycji; </w:t>
      </w:r>
    </w:p>
    <w:p w14:paraId="5719E5BA" w14:textId="77777777" w:rsidR="00241622" w:rsidRPr="00241622" w:rsidRDefault="00241622" w:rsidP="0064516D">
      <w:pPr>
        <w:ind w:firstLine="708"/>
        <w:jc w:val="both"/>
      </w:pPr>
      <w:r w:rsidRPr="00241622">
        <w:t xml:space="preserve">6) finansowanie zakupu aktywów finansowych przeznaczonych do obrotu; </w:t>
      </w:r>
    </w:p>
    <w:p w14:paraId="6F3B35FA" w14:textId="02F040F8" w:rsidR="0064516D" w:rsidRDefault="00241622" w:rsidP="0064516D">
      <w:pPr>
        <w:ind w:firstLine="708"/>
        <w:jc w:val="both"/>
      </w:pPr>
      <w:r w:rsidRPr="00241622">
        <w:t xml:space="preserve">7) finansowanie zobowiązań dla których termin zapadalności przypadł przed 1 lutym 2020 r. </w:t>
      </w:r>
    </w:p>
    <w:p w14:paraId="0D36A0F7" w14:textId="55F9297B" w:rsidR="0064516D" w:rsidRPr="00241622" w:rsidRDefault="00241622" w:rsidP="0064516D">
      <w:pPr>
        <w:ind w:firstLine="708"/>
        <w:jc w:val="both"/>
      </w:pPr>
      <w:r w:rsidRPr="00241622">
        <w:t xml:space="preserve">8) finansowanie zakupu nieruchomości przeznaczonych do obrotu; </w:t>
      </w:r>
    </w:p>
    <w:p w14:paraId="371BF6AC" w14:textId="77777777" w:rsidR="00241622" w:rsidRPr="00241622" w:rsidRDefault="00241622" w:rsidP="0064516D">
      <w:pPr>
        <w:ind w:left="708"/>
        <w:jc w:val="both"/>
      </w:pPr>
      <w:r w:rsidRPr="00241622">
        <w:t xml:space="preserve">9) finansowanie kształcenia, szkolenia, szkolenia zawodowego pracowników lub innych przedsięwzięć bezpośrednio objętych zakresem rozporządzenia Parlamentu Europejskiego i Rady (UE) nr 1304/2013 w sprawie Europejskiego Funduszu Społecznego; </w:t>
      </w:r>
    </w:p>
    <w:p w14:paraId="46D2F9C1" w14:textId="77777777" w:rsidR="00241622" w:rsidRPr="00241622" w:rsidRDefault="00241622" w:rsidP="0064516D">
      <w:pPr>
        <w:ind w:left="708"/>
        <w:jc w:val="both"/>
      </w:pPr>
      <w:r w:rsidRPr="00241622">
        <w:t xml:space="preserve">10) finansowanie działalności w zakresie wytwarzania, przetwórstwa lub wprowadzania do obrotu przez producenta lub importera tytoniu i wyrobów tytoniowych; </w:t>
      </w:r>
    </w:p>
    <w:p w14:paraId="26C42FB7" w14:textId="77777777" w:rsidR="00241622" w:rsidRPr="00241622" w:rsidRDefault="00241622" w:rsidP="0064516D">
      <w:pPr>
        <w:ind w:left="708"/>
        <w:jc w:val="both"/>
      </w:pPr>
      <w:r w:rsidRPr="00241622">
        <w:t xml:space="preserve">11) finansowanie działalności w zakresie produkcji lub wprowadzania do obrotu przez producenta lub importera napojów alkoholowych; </w:t>
      </w:r>
    </w:p>
    <w:p w14:paraId="4F6747B6" w14:textId="77777777" w:rsidR="00241622" w:rsidRPr="00241622" w:rsidRDefault="00241622" w:rsidP="0064516D">
      <w:pPr>
        <w:ind w:left="708"/>
        <w:jc w:val="both"/>
      </w:pPr>
      <w:r w:rsidRPr="00241622">
        <w:t xml:space="preserve">12) finansowanie działalności w zakresie produkcji lub wprowadzania do obrotu przez producenta lub importera treści pornograficznych; </w:t>
      </w:r>
    </w:p>
    <w:p w14:paraId="4836EEDA" w14:textId="77777777" w:rsidR="00241622" w:rsidRPr="00241622" w:rsidRDefault="00241622" w:rsidP="0064516D">
      <w:pPr>
        <w:ind w:left="708"/>
        <w:jc w:val="both"/>
      </w:pPr>
      <w:r w:rsidRPr="00241622">
        <w:t xml:space="preserve">13) finansowanie działalności w zakresie obrotu materiałami wybuchowymi, bronią i amunicją; </w:t>
      </w:r>
    </w:p>
    <w:p w14:paraId="7E7603F3" w14:textId="77777777" w:rsidR="00241622" w:rsidRPr="00241622" w:rsidRDefault="00241622" w:rsidP="0064516D">
      <w:pPr>
        <w:ind w:left="708"/>
        <w:jc w:val="both"/>
      </w:pPr>
      <w:r w:rsidRPr="00241622">
        <w:t xml:space="preserve">14) finansowanie działalności w zakresie gier losowych, zakładów wzajemnych, gier na automatach i gier na automatach o niskich wygranych; </w:t>
      </w:r>
    </w:p>
    <w:p w14:paraId="10826A8E" w14:textId="77777777" w:rsidR="00241622" w:rsidRPr="00241622" w:rsidRDefault="00241622" w:rsidP="0064516D">
      <w:pPr>
        <w:ind w:left="708"/>
        <w:jc w:val="both"/>
      </w:pPr>
      <w:r w:rsidRPr="00241622">
        <w:t xml:space="preserve">15) finansowanie działalności w zakresie produkcji lub wprowadzania do obrotu przez producenta lub importera środków odurzających, substancji psychotropowych lub prekursorów; </w:t>
      </w:r>
    </w:p>
    <w:p w14:paraId="28E36268" w14:textId="50C0E043" w:rsidR="00241622" w:rsidRDefault="00241622" w:rsidP="0064516D">
      <w:pPr>
        <w:ind w:firstLine="708"/>
        <w:jc w:val="both"/>
      </w:pPr>
      <w:r w:rsidRPr="00241622">
        <w:t xml:space="preserve">16) finansowanie likwidacji lub budowy elektrowni jądrowych; </w:t>
      </w:r>
    </w:p>
    <w:p w14:paraId="1268550A" w14:textId="77777777" w:rsidR="00E754BF" w:rsidRPr="00241622" w:rsidRDefault="00E754BF" w:rsidP="0064516D">
      <w:pPr>
        <w:ind w:firstLine="708"/>
        <w:jc w:val="both"/>
      </w:pPr>
    </w:p>
    <w:p w14:paraId="364305E0" w14:textId="77777777" w:rsidR="00241622" w:rsidRPr="00241622" w:rsidRDefault="00241622" w:rsidP="0064516D">
      <w:pPr>
        <w:jc w:val="both"/>
      </w:pPr>
      <w:r w:rsidRPr="00241622">
        <w:rPr>
          <w:b/>
          <w:bCs/>
        </w:rPr>
        <w:t xml:space="preserve">V. Ograniczenia w finansowaniu </w:t>
      </w:r>
    </w:p>
    <w:p w14:paraId="444530E6" w14:textId="77777777" w:rsidR="00241622" w:rsidRPr="00241622" w:rsidRDefault="00241622" w:rsidP="0064516D">
      <w:pPr>
        <w:jc w:val="both"/>
      </w:pPr>
      <w:r w:rsidRPr="00241622">
        <w:t xml:space="preserve">1. Jedno przedsiębiorstwo może otrzymać w ramach Limitu Pożyczki Płynnościowej więcej niż jedną Jednostkową Pożyczkę, z zastrzeżeniem, że łączna kwota wszystkich Jednostkowych Pożyczek udzielonych jednemu Ostatecznemu Odbiorcy nie przekroczy 10% wartości Limitu Pożyczki Płynnościowej, przy czym wskazany 10- proc. % limit nie obowiązuje Ostatecznego Odbiorcy, któremu udzielana jest tylko jedna Jednostkowa Pożyczka </w:t>
      </w:r>
    </w:p>
    <w:p w14:paraId="2D71CF2F" w14:textId="250909D5" w:rsidR="00241622" w:rsidRPr="00241622" w:rsidRDefault="00241622" w:rsidP="0064516D">
      <w:pPr>
        <w:jc w:val="both"/>
      </w:pPr>
      <w:r w:rsidRPr="00241622">
        <w:lastRenderedPageBreak/>
        <w:t xml:space="preserve">2. Środki Pożyczki nie mogą nakładać się finansowaniem z Europejskich Funduszy Strukturalnych </w:t>
      </w:r>
      <w:r w:rsidR="0064516D">
        <w:t xml:space="preserve">                           </w:t>
      </w:r>
      <w:r w:rsidRPr="00241622">
        <w:t xml:space="preserve">i Inwestycyjnych, z innych funduszy, programów, środków i instrumentów Unii Europejskiej, a także innych źródeł pomocy krajowej i zagranicznej. </w:t>
      </w:r>
    </w:p>
    <w:p w14:paraId="0225F992" w14:textId="77777777" w:rsidR="00241622" w:rsidRPr="00241622" w:rsidRDefault="00241622" w:rsidP="0064516D">
      <w:pPr>
        <w:jc w:val="both"/>
      </w:pPr>
    </w:p>
    <w:p w14:paraId="05E4120F" w14:textId="77777777" w:rsidR="00241622" w:rsidRPr="00241622" w:rsidRDefault="00241622" w:rsidP="0064516D">
      <w:pPr>
        <w:jc w:val="both"/>
      </w:pPr>
      <w:r w:rsidRPr="00241622">
        <w:rPr>
          <w:b/>
          <w:bCs/>
        </w:rPr>
        <w:t xml:space="preserve">VI. Zasady odpłatności za udzielenie Pożyczki Płynnościowej </w:t>
      </w:r>
    </w:p>
    <w:p w14:paraId="19958FE3" w14:textId="77777777" w:rsidR="00241622" w:rsidRPr="00241622" w:rsidRDefault="00241622" w:rsidP="0064516D">
      <w:pPr>
        <w:jc w:val="both"/>
      </w:pPr>
      <w:r w:rsidRPr="00241622">
        <w:t xml:space="preserve">1. Pożyczka może być oprocentowana: </w:t>
      </w:r>
    </w:p>
    <w:p w14:paraId="1E4A5E9E" w14:textId="66CAF217" w:rsidR="00241622" w:rsidRPr="00241622" w:rsidRDefault="00241622" w:rsidP="0064516D">
      <w:pPr>
        <w:jc w:val="both"/>
      </w:pPr>
      <w:r w:rsidRPr="00241622">
        <w:rPr>
          <w:b/>
          <w:bCs/>
        </w:rPr>
        <w:t>1) na warunkach rynkowych</w:t>
      </w:r>
      <w:r w:rsidRPr="00241622">
        <w:t xml:space="preserve">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ryzyka. </w:t>
      </w:r>
    </w:p>
    <w:p w14:paraId="261CA2B6" w14:textId="77777777" w:rsidR="00241622" w:rsidRPr="00241622" w:rsidRDefault="00241622" w:rsidP="0064516D">
      <w:pPr>
        <w:jc w:val="both"/>
      </w:pPr>
      <w:r w:rsidRPr="00241622">
        <w:rPr>
          <w:b/>
          <w:bCs/>
        </w:rPr>
        <w:t xml:space="preserve">Stopa bazowa publikowana jest przez Komisję Europejską w dzienniku Urzędowym Unii Europejskiej i dostępna jest na stronie: </w:t>
      </w:r>
    </w:p>
    <w:p w14:paraId="339AF101" w14:textId="77777777" w:rsidR="00241622" w:rsidRPr="00241622" w:rsidRDefault="00241622" w:rsidP="0064516D">
      <w:pPr>
        <w:jc w:val="both"/>
        <w:rPr>
          <w:u w:val="single"/>
        </w:rPr>
      </w:pPr>
      <w:r w:rsidRPr="00241622">
        <w:rPr>
          <w:u w:val="single"/>
        </w:rPr>
        <w:t xml:space="preserve">http://ec.europa.eu/competition/state_aid/legislation/reference_rates.html </w:t>
      </w:r>
    </w:p>
    <w:p w14:paraId="5A1C7D21" w14:textId="77777777" w:rsidR="00241622" w:rsidRPr="00241622" w:rsidRDefault="00241622" w:rsidP="0064516D">
      <w:pPr>
        <w:jc w:val="both"/>
      </w:pPr>
      <w:r w:rsidRPr="00241622">
        <w:t xml:space="preserve">oraz </w:t>
      </w:r>
    </w:p>
    <w:p w14:paraId="11F9414E" w14:textId="77777777" w:rsidR="00241622" w:rsidRPr="00241622" w:rsidRDefault="00241622" w:rsidP="0064516D">
      <w:pPr>
        <w:jc w:val="both"/>
        <w:rPr>
          <w:u w:val="single"/>
        </w:rPr>
      </w:pPr>
      <w:r w:rsidRPr="00241622">
        <w:rPr>
          <w:u w:val="single"/>
        </w:rPr>
        <w:t xml:space="preserve">https://uokik.gov.pl/stopa_referencyjna_i_archiwum.php </w:t>
      </w:r>
    </w:p>
    <w:p w14:paraId="3575FA30" w14:textId="6518F79C" w:rsidR="00241622" w:rsidRPr="00241622" w:rsidRDefault="00241622" w:rsidP="0064516D">
      <w:pPr>
        <w:jc w:val="both"/>
      </w:pPr>
      <w:r w:rsidRPr="00241622">
        <w:rPr>
          <w:b/>
          <w:bCs/>
        </w:rPr>
        <w:t xml:space="preserve">2) na warunkach korzystniejszych niż rynkowe, </w:t>
      </w:r>
      <w:r w:rsidRPr="00241622">
        <w:t xml:space="preserve">zgodnie z zasadami udzielania pomocy de </w:t>
      </w:r>
      <w:proofErr w:type="spellStart"/>
      <w:r w:rsidRPr="00241622">
        <w:t>minimis</w:t>
      </w:r>
      <w:proofErr w:type="spellEnd"/>
      <w:r w:rsidRPr="00241622">
        <w:t xml:space="preserve">, </w:t>
      </w:r>
      <w:r w:rsidR="0064516D">
        <w:t xml:space="preserve">                   </w:t>
      </w:r>
      <w:r w:rsidRPr="00241622">
        <w:t xml:space="preserve">o których mowa w Rozporządzeniu Komisji (UE) nr 1407/2013 z dnia 18 grudnia 2013 r. w sprawie stosowania art. 107 i 108 Traktatu o funkcjonowaniu Unii Europejskiej do pomocy de </w:t>
      </w:r>
      <w:proofErr w:type="spellStart"/>
      <w:r w:rsidRPr="00241622">
        <w:t>minimis</w:t>
      </w:r>
      <w:proofErr w:type="spellEnd"/>
      <w:r w:rsidRPr="00241622">
        <w:t xml:space="preserve"> oraz Rozporządzenia Ministra Infrastruktury i Rozwoju z dnia 19 marca 2015 r. w sprawie udzielania pomocy de </w:t>
      </w:r>
      <w:proofErr w:type="spellStart"/>
      <w:r w:rsidRPr="00241622">
        <w:t>minimis</w:t>
      </w:r>
      <w:proofErr w:type="spellEnd"/>
      <w:r w:rsidRPr="00241622">
        <w:t xml:space="preserve"> w ramach regionalnych programów operacyjnych na lata 2014–2020 (Dz.U. 2015 poz. 488 z późniejszymi zmianami). </w:t>
      </w:r>
    </w:p>
    <w:p w14:paraId="0A0BD88F" w14:textId="77777777" w:rsidR="00241622" w:rsidRPr="00241622" w:rsidRDefault="00241622" w:rsidP="0064516D">
      <w:pPr>
        <w:jc w:val="both"/>
      </w:pPr>
      <w:r w:rsidRPr="00241622">
        <w:t xml:space="preserve">Oprocentowanie Jednostkowej Pożyczki udzielanej zgodnie z zasadami udzielania pomocy de </w:t>
      </w:r>
      <w:proofErr w:type="spellStart"/>
      <w:r w:rsidRPr="00241622">
        <w:t>minimis</w:t>
      </w:r>
      <w:proofErr w:type="spellEnd"/>
      <w:r w:rsidRPr="00241622">
        <w:t xml:space="preserve"> jest stałe w całym okresie jej obowiązywania i ustalone jest w wysokości 0%. </w:t>
      </w:r>
    </w:p>
    <w:p w14:paraId="7CEF7CA0" w14:textId="09E011D6" w:rsidR="00241622" w:rsidRPr="00241622" w:rsidRDefault="00241622" w:rsidP="0064516D">
      <w:pPr>
        <w:jc w:val="both"/>
      </w:pPr>
      <w:r w:rsidRPr="00241622">
        <w:rPr>
          <w:b/>
          <w:bCs/>
        </w:rPr>
        <w:t>3) na warunkach korzystniejszych niż rynkowe</w:t>
      </w:r>
      <w:r w:rsidRPr="00241622">
        <w:t xml:space="preserve">, w wysokości i zgodnie z zasadami udzielania pomocy określonymi w Rozporządzeniu Ministra Funduszy i Polityki Regionalnej z dnia 14 kwietnia 2020 r. w sprawie udzielania pomocy z instrumentów finansowych w ramach programów operacyjnych na lata 2014-2020 w celu wspierania polskiej gospodarki w związku z wystąpieniem pandemii COVID-19. Jeżeli odpowiednie przepisy Rozporządzenia o którym mowa powyżej stawiają dodatkowe warunki udzielenia pomocy, które są bardziej restrykcyjne w stosunku do postanowień niniejszej Karty Produktu, zapisy Rozporządzenia mają pierwszeństwo stosowania do udzielenia danej Pożyczki, dotyczy to m. in. oprocentowania Pożyczki. </w:t>
      </w:r>
    </w:p>
    <w:p w14:paraId="0A8D0A87" w14:textId="00A0363B" w:rsidR="00241622" w:rsidRDefault="00241622" w:rsidP="0064516D">
      <w:pPr>
        <w:jc w:val="both"/>
      </w:pPr>
      <w:r w:rsidRPr="00241622">
        <w:t>2. Od środków Pożyczki nie pobiera się żadnych opłat i prowizji związanych z ich udostępnieniem</w:t>
      </w:r>
      <w:r w:rsidR="0064516D">
        <w:t xml:space="preserve">                           </w:t>
      </w:r>
      <w:r w:rsidRPr="00241622">
        <w:t xml:space="preserve"> i obsługą. Powyższe nie dotyczy odrębnie uregulowanych czynności windykacyjnych. </w:t>
      </w:r>
    </w:p>
    <w:p w14:paraId="1D4D3679" w14:textId="362F8CE9" w:rsidR="0064516D" w:rsidRDefault="0064516D" w:rsidP="0064516D">
      <w:pPr>
        <w:jc w:val="both"/>
      </w:pPr>
    </w:p>
    <w:p w14:paraId="593D9A87" w14:textId="77777777" w:rsidR="0064516D" w:rsidRPr="00241622" w:rsidRDefault="0064516D" w:rsidP="0064516D">
      <w:pPr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</w:tblGrid>
      <w:tr w:rsidR="00241622" w:rsidRPr="00241622" w14:paraId="38509293" w14:textId="77777777" w:rsidTr="0064516D">
        <w:trPr>
          <w:trHeight w:val="80"/>
        </w:trPr>
        <w:tc>
          <w:tcPr>
            <w:tcW w:w="2235" w:type="dxa"/>
          </w:tcPr>
          <w:p w14:paraId="69F8B3CF" w14:textId="459C57E8" w:rsidR="0064516D" w:rsidRDefault="0064516D" w:rsidP="0064516D">
            <w:pPr>
              <w:ind w:right="-1577"/>
            </w:pPr>
            <w:r>
              <w:t>………………………………………………….</w:t>
            </w:r>
          </w:p>
          <w:p w14:paraId="5FD98F05" w14:textId="40D5ED2D" w:rsidR="00241622" w:rsidRPr="00241622" w:rsidRDefault="00241622" w:rsidP="0064516D">
            <w:pPr>
              <w:ind w:right="-1577"/>
            </w:pPr>
            <w:r w:rsidRPr="00241622">
              <w:t>Podpis</w:t>
            </w:r>
            <w:r w:rsidR="0064516D">
              <w:t xml:space="preserve"> </w:t>
            </w:r>
            <w:r w:rsidRPr="00241622">
              <w:t xml:space="preserve">pożyczkodawcy </w:t>
            </w:r>
          </w:p>
        </w:tc>
      </w:tr>
    </w:tbl>
    <w:p w14:paraId="1A9640D1" w14:textId="7F9B2FAD" w:rsidR="00116852" w:rsidRDefault="001C5ECF"/>
    <w:p w14:paraId="7F80EED0" w14:textId="1056A238" w:rsidR="00E754BF" w:rsidRDefault="00E754BF"/>
    <w:p w14:paraId="6699ED2C" w14:textId="6ABAED4A" w:rsidR="00E754BF" w:rsidRDefault="00E754BF">
      <w:r>
        <w:t>Oświadczam, iż zapoznałem się z treścią niniejszego dokumentu:</w:t>
      </w:r>
    </w:p>
    <w:p w14:paraId="202E19C2" w14:textId="239EF435" w:rsidR="00E754BF" w:rsidRDefault="00E754BF"/>
    <w:p w14:paraId="240B48BB" w14:textId="5FF1FF9B" w:rsidR="00E754BF" w:rsidRDefault="00E754BF"/>
    <w:p w14:paraId="61E7B6B2" w14:textId="433E08CB" w:rsidR="00E754BF" w:rsidRDefault="00E754BF" w:rsidP="00E754BF">
      <w:pPr>
        <w:spacing w:line="240" w:lineRule="auto"/>
      </w:pPr>
      <w:r>
        <w:t>…………………………………………..</w:t>
      </w:r>
    </w:p>
    <w:p w14:paraId="3DE43A19" w14:textId="0CE431C5" w:rsidR="00E754BF" w:rsidRPr="00E754BF" w:rsidRDefault="00E754BF" w:rsidP="00E754B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E754BF">
        <w:rPr>
          <w:sz w:val="16"/>
          <w:szCs w:val="16"/>
        </w:rPr>
        <w:t>Podpis pożyczkobiorcy</w:t>
      </w:r>
    </w:p>
    <w:sectPr w:rsidR="00E754BF" w:rsidRPr="00E754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0732" w14:textId="77777777" w:rsidR="001C5ECF" w:rsidRDefault="001C5ECF" w:rsidP="00241622">
      <w:pPr>
        <w:spacing w:after="0" w:line="240" w:lineRule="auto"/>
      </w:pPr>
      <w:r>
        <w:separator/>
      </w:r>
    </w:p>
  </w:endnote>
  <w:endnote w:type="continuationSeparator" w:id="0">
    <w:p w14:paraId="2FB1DD23" w14:textId="77777777" w:rsidR="001C5ECF" w:rsidRDefault="001C5ECF" w:rsidP="0024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5904" w14:textId="05B4C11C" w:rsidR="00241622" w:rsidRPr="00241622" w:rsidRDefault="00241622" w:rsidP="00241622">
    <w:pPr>
      <w:pStyle w:val="Stopka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7485DCA5" wp14:editId="475AE94B">
          <wp:extent cx="5554126" cy="607060"/>
          <wp:effectExtent l="0" t="0" r="889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756" cy="615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41622">
      <w:t>„</w:t>
    </w:r>
    <w:r w:rsidRPr="00241622">
      <w:rPr>
        <w:sz w:val="14"/>
        <w:szCs w:val="14"/>
      </w:rPr>
      <w:t>Instrument Finansowy – Pożyczka Płynnościowa jest finansowany z Regionalnego Programu Operacyjnego Województwa Podkarpackiego na lata2014-2020 współfinansowanego z Europejskiego Funduszu Rozwoju Regionalnego i budżetu państwa”</w:t>
    </w:r>
  </w:p>
  <w:p w14:paraId="1FB75BFD" w14:textId="026FAC68" w:rsidR="00241622" w:rsidRDefault="00241622" w:rsidP="00241622">
    <w:pPr>
      <w:pStyle w:val="Stopka"/>
      <w:jc w:val="center"/>
      <w:rPr>
        <w:sz w:val="14"/>
        <w:szCs w:val="14"/>
      </w:rPr>
    </w:pPr>
    <w:r w:rsidRPr="00241622">
      <w:rPr>
        <w:sz w:val="14"/>
        <w:szCs w:val="14"/>
      </w:rPr>
      <w:t xml:space="preserve">Regionalna Izba Gospodarcza , ul.1-go Sierpnia 26 B, 37-450 Stalowa Wola, tel. +48 15 844 03 57, fax + 48 15 844 03 57, e-mail: rig@onet.pl,  </w:t>
    </w:r>
    <w:hyperlink r:id="rId2" w:history="1">
      <w:r w:rsidRPr="007577DA">
        <w:rPr>
          <w:rStyle w:val="Hipercze"/>
          <w:sz w:val="14"/>
          <w:szCs w:val="14"/>
        </w:rPr>
        <w:t>sekretariat@rig-stw.pl</w:t>
      </w:r>
    </w:hyperlink>
    <w:r>
      <w:rPr>
        <w:sz w:val="14"/>
        <w:szCs w:val="14"/>
      </w:rPr>
      <w:t>, www.rig-stw.pl</w:t>
    </w:r>
  </w:p>
  <w:p w14:paraId="4B86E30B" w14:textId="1135B500" w:rsidR="00241622" w:rsidRPr="00241622" w:rsidRDefault="00241622" w:rsidP="00241622">
    <w:pPr>
      <w:pStyle w:val="Stopka"/>
      <w:jc w:val="center"/>
      <w:rPr>
        <w:sz w:val="14"/>
        <w:szCs w:val="14"/>
      </w:rPr>
    </w:pPr>
  </w:p>
  <w:p w14:paraId="10C0E8C0" w14:textId="77777777" w:rsidR="00241622" w:rsidRPr="00241622" w:rsidRDefault="00241622" w:rsidP="00241622">
    <w:pPr>
      <w:pStyle w:val="Stopka"/>
      <w:rPr>
        <w:b/>
        <w:lang w:val="en-US"/>
      </w:rPr>
    </w:pPr>
  </w:p>
  <w:p w14:paraId="3F618486" w14:textId="53ADD9BA" w:rsidR="00241622" w:rsidRDefault="0024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4314" w14:textId="77777777" w:rsidR="001C5ECF" w:rsidRDefault="001C5ECF" w:rsidP="00241622">
      <w:pPr>
        <w:spacing w:after="0" w:line="240" w:lineRule="auto"/>
      </w:pPr>
      <w:r>
        <w:separator/>
      </w:r>
    </w:p>
  </w:footnote>
  <w:footnote w:type="continuationSeparator" w:id="0">
    <w:p w14:paraId="2E91E916" w14:textId="77777777" w:rsidR="001C5ECF" w:rsidRDefault="001C5ECF" w:rsidP="00241622">
      <w:pPr>
        <w:spacing w:after="0" w:line="240" w:lineRule="auto"/>
      </w:pPr>
      <w:r>
        <w:continuationSeparator/>
      </w:r>
    </w:p>
  </w:footnote>
  <w:footnote w:id="1">
    <w:p w14:paraId="496ABDAB" w14:textId="0FB08BCF" w:rsidR="0064516D" w:rsidRPr="00241622" w:rsidRDefault="0064516D" w:rsidP="006451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1622">
        <w:t xml:space="preserve">Zobowiązania publiczno-prawne nie mogą być finansowane ze środków Jednostkowej Pożyczki w przypadku udzielenia pożyczki na warunkach określonych w pkt. VI.1.2.) </w:t>
      </w:r>
    </w:p>
    <w:p w14:paraId="2842EA5E" w14:textId="1EFB1D91" w:rsidR="0064516D" w:rsidRDefault="006451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A708" w14:textId="489A4994" w:rsidR="00241622" w:rsidRDefault="00241622">
    <w:pPr>
      <w:pStyle w:val="Nagwek"/>
    </w:pPr>
    <w:r>
      <w:rPr>
        <w:noProof/>
      </w:rPr>
      <w:drawing>
        <wp:inline distT="0" distB="0" distL="0" distR="0" wp14:anchorId="105563D9" wp14:editId="6611814D">
          <wp:extent cx="5695315" cy="590550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D6"/>
    <w:rsid w:val="0008208A"/>
    <w:rsid w:val="000A43CD"/>
    <w:rsid w:val="00124783"/>
    <w:rsid w:val="001B380E"/>
    <w:rsid w:val="001C5ECF"/>
    <w:rsid w:val="00241622"/>
    <w:rsid w:val="00270754"/>
    <w:rsid w:val="00402C71"/>
    <w:rsid w:val="004110D6"/>
    <w:rsid w:val="0041701A"/>
    <w:rsid w:val="004B6B21"/>
    <w:rsid w:val="005632BA"/>
    <w:rsid w:val="0058035B"/>
    <w:rsid w:val="005902B2"/>
    <w:rsid w:val="005C78E6"/>
    <w:rsid w:val="005F563F"/>
    <w:rsid w:val="0064516D"/>
    <w:rsid w:val="006E2671"/>
    <w:rsid w:val="00784F5C"/>
    <w:rsid w:val="007F7868"/>
    <w:rsid w:val="008157B8"/>
    <w:rsid w:val="008B419A"/>
    <w:rsid w:val="009437B4"/>
    <w:rsid w:val="00944556"/>
    <w:rsid w:val="00996E05"/>
    <w:rsid w:val="00A06FE1"/>
    <w:rsid w:val="00A85EEE"/>
    <w:rsid w:val="00B25734"/>
    <w:rsid w:val="00D72A67"/>
    <w:rsid w:val="00E01E97"/>
    <w:rsid w:val="00E035FB"/>
    <w:rsid w:val="00E039E7"/>
    <w:rsid w:val="00E754BF"/>
    <w:rsid w:val="00F149E4"/>
    <w:rsid w:val="00F2663E"/>
    <w:rsid w:val="00F45D24"/>
    <w:rsid w:val="00F612CD"/>
    <w:rsid w:val="00F6736D"/>
    <w:rsid w:val="00F85545"/>
    <w:rsid w:val="00F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A3F1D"/>
  <w15:chartTrackingRefBased/>
  <w15:docId w15:val="{E31BEBA2-ED24-465F-A10C-E5463AFD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622"/>
  </w:style>
  <w:style w:type="paragraph" w:styleId="Stopka">
    <w:name w:val="footer"/>
    <w:basedOn w:val="Normalny"/>
    <w:link w:val="StopkaZnak"/>
    <w:uiPriority w:val="99"/>
    <w:unhideWhenUsed/>
    <w:rsid w:val="00241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622"/>
  </w:style>
  <w:style w:type="character" w:styleId="Hipercze">
    <w:name w:val="Hyperlink"/>
    <w:basedOn w:val="Domylnaczcionkaakapitu"/>
    <w:uiPriority w:val="99"/>
    <w:unhideWhenUsed/>
    <w:rsid w:val="002416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62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1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rig-st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38B3-8784-47EB-93D7-5DBA1AA9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 Małgorzata</dc:creator>
  <cp:keywords/>
  <dc:description/>
  <cp:lastModifiedBy>Kołodziej Małgorzata</cp:lastModifiedBy>
  <cp:revision>3</cp:revision>
  <dcterms:created xsi:type="dcterms:W3CDTF">2021-04-20T12:38:00Z</dcterms:created>
  <dcterms:modified xsi:type="dcterms:W3CDTF">2021-04-21T07:36:00Z</dcterms:modified>
</cp:coreProperties>
</file>