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9A264A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9A264A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9A264A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8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7125F4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7125F4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zakupu </w:t>
      </w:r>
      <w:r w:rsidR="007E587D">
        <w:rPr>
          <w:rFonts w:ascii="Times New Roman" w:hAnsi="Times New Roman" w:cs="Times New Roman"/>
          <w:b/>
          <w:color w:val="auto"/>
          <w:sz w:val="22"/>
          <w:szCs w:val="22"/>
        </w:rPr>
        <w:t>tablicy multimedialnej wraz z projektorem krótkoogniskowym i podstawą samojezdną</w:t>
      </w:r>
      <w:r w:rsidR="00054A30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="007125F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monitora TV</w:t>
      </w:r>
      <w:r w:rsidR="00054A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oraz kserokopiarki kolorowej</w:t>
      </w:r>
      <w:r w:rsidR="007125F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865D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>„Regionalna Izba Gospodarcza mostem do świata biznesu ” 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  <w:r w:rsidR="00A87D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9A264A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D45D5E">
              <w:rPr>
                <w:b/>
                <w:sz w:val="22"/>
                <w:szCs w:val="22"/>
              </w:rPr>
              <w:t>zakup</w:t>
            </w:r>
            <w:r w:rsidR="00424FB7">
              <w:rPr>
                <w:b/>
                <w:sz w:val="22"/>
                <w:szCs w:val="22"/>
              </w:rPr>
              <w:t xml:space="preserve"> </w:t>
            </w:r>
            <w:r w:rsidR="009B3B6B">
              <w:rPr>
                <w:b/>
                <w:sz w:val="22"/>
                <w:szCs w:val="22"/>
              </w:rPr>
              <w:t>tablicy multimedialnej wraz z projektorem krótkoo</w:t>
            </w:r>
            <w:r w:rsidR="00054A30">
              <w:rPr>
                <w:b/>
                <w:sz w:val="22"/>
                <w:szCs w:val="22"/>
              </w:rPr>
              <w:t>gniskowym i podstawą samojezdną,</w:t>
            </w:r>
            <w:r w:rsidR="001B3DCB">
              <w:rPr>
                <w:b/>
                <w:sz w:val="22"/>
                <w:szCs w:val="22"/>
              </w:rPr>
              <w:t xml:space="preserve"> monitora TV</w:t>
            </w:r>
            <w:r w:rsidR="00054A30">
              <w:rPr>
                <w:b/>
                <w:sz w:val="22"/>
                <w:szCs w:val="22"/>
              </w:rPr>
              <w:t xml:space="preserve"> oraz kserokopiarki kolorowej</w:t>
            </w:r>
            <w:r w:rsidR="001B3DCB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D07058" w:rsidRDefault="00A87D64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Zakup, dostawa </w:t>
            </w:r>
            <w:r w:rsidR="009B3B6B" w:rsidRPr="009B3B6B">
              <w:rPr>
                <w:sz w:val="22"/>
                <w:szCs w:val="22"/>
              </w:rPr>
              <w:t>tablicy multimedialnej wraz z projektorem krótkoogniskowym i podstawą samojezdną</w:t>
            </w:r>
            <w:r w:rsidR="009B3B6B">
              <w:rPr>
                <w:color w:val="000000"/>
              </w:rPr>
              <w:t xml:space="preserve"> </w:t>
            </w:r>
            <w:r w:rsidR="00E739DB">
              <w:rPr>
                <w:color w:val="000000"/>
              </w:rPr>
              <w:t>(1 szt.)</w:t>
            </w: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6D226A" w:rsidRDefault="00B956B3" w:rsidP="006D226A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</w:t>
            </w:r>
            <w:r w:rsidR="006D226A">
              <w:rPr>
                <w:sz w:val="22"/>
                <w:szCs w:val="22"/>
              </w:rPr>
              <w:t xml:space="preserve">Przedmiotem zamówienia jest zakup, dostawa </w:t>
            </w:r>
            <w:r w:rsidR="00207E2D" w:rsidRPr="00207E2D">
              <w:rPr>
                <w:sz w:val="22"/>
                <w:szCs w:val="22"/>
              </w:rPr>
              <w:t xml:space="preserve">tablicy multimedialnej wraz z projektorem krótkoogniskowym i podstawą samojezdną </w:t>
            </w:r>
            <w:r w:rsidR="006D226A">
              <w:rPr>
                <w:sz w:val="22"/>
                <w:szCs w:val="22"/>
              </w:rPr>
              <w:t>według poniższej specyfikacji:</w:t>
            </w:r>
          </w:p>
          <w:p w:rsidR="00D218A6" w:rsidRDefault="00D218A6" w:rsidP="006D226A">
            <w:pPr>
              <w:spacing w:line="276" w:lineRule="auto"/>
            </w:pPr>
          </w:p>
          <w:p w:rsidR="00CA1FCC" w:rsidRPr="008A2883" w:rsidRDefault="00D218A6" w:rsidP="00CA1FCC">
            <w:pPr>
              <w:pStyle w:val="NormalnyWeb"/>
              <w:jc w:val="both"/>
            </w:pPr>
            <w:r w:rsidRPr="008A2883">
              <w:lastRenderedPageBreak/>
              <w:t xml:space="preserve">Tablica </w:t>
            </w:r>
            <w:r w:rsidR="00F76B24">
              <w:t>interaktywna</w:t>
            </w:r>
            <w:r w:rsidRPr="008A2883">
              <w:t xml:space="preserve"> (wraz z projektorem krótkoogniskowym i podstawą samojezdną) Powierzchnia tablicy przeznaczona do projekcji i rysowania, rozdzielczość sprzętowa min.</w:t>
            </w:r>
            <w:r w:rsidR="00880C75">
              <w:t xml:space="preserve"> </w:t>
            </w:r>
            <w:r w:rsidRPr="008A2883">
              <w:t>rozdzielczość wewnętrzna: 4096 punktów (linii) na cal, rozdzielczość wyjściowa: 1000 linii na cal (39,4 linii na mm), prędkość odczytu współrzędnych min. do 150 współrzędnych na sekundę, 250 cali na sekundę, wyświetlacz  min.3 x 1.6 cm (0.63"), przekątna ekranu [cm] min.: 152,4 / 60" ; Max: 279,4 / 110"</w:t>
            </w:r>
            <w:r w:rsidR="00855C68" w:rsidRPr="008A2883">
              <w:t>. O</w:t>
            </w:r>
            <w:r w:rsidR="00855C68" w:rsidRPr="008A2883">
              <w:t xml:space="preserve">programowanie </w:t>
            </w:r>
            <w:r w:rsidR="00855C68" w:rsidRPr="008A2883">
              <w:t xml:space="preserve">powinno współpracować </w:t>
            </w:r>
            <w:r w:rsidR="00855C68" w:rsidRPr="008A2883">
              <w:t xml:space="preserve"> </w:t>
            </w:r>
            <w:r w:rsidR="00855C68" w:rsidRPr="008A2883">
              <w:t>ze wszystkimi</w:t>
            </w:r>
            <w:r w:rsidR="00855C68" w:rsidRPr="008A2883">
              <w:t xml:space="preserve"> </w:t>
            </w:r>
            <w:r w:rsidR="00855C68" w:rsidRPr="008A2883">
              <w:t>systemami operacyjnymi typu</w:t>
            </w:r>
            <w:r w:rsidR="00855C68" w:rsidRPr="008A2883">
              <w:t xml:space="preserve"> Windows, Mac OS i Linux. Wyposażone w </w:t>
            </w:r>
            <w:r w:rsidR="00855C68" w:rsidRPr="008A2883">
              <w:t xml:space="preserve">ofertę </w:t>
            </w:r>
            <w:r w:rsidR="00855C68" w:rsidRPr="008A2883">
              <w:t xml:space="preserve">gotowych do użycia szablonów i </w:t>
            </w:r>
            <w:proofErr w:type="spellStart"/>
            <w:r w:rsidR="00855C68" w:rsidRPr="008A2883">
              <w:t>clipartów</w:t>
            </w:r>
            <w:proofErr w:type="spellEnd"/>
            <w:r w:rsidR="00855C68" w:rsidRPr="008A2883">
              <w:t xml:space="preserve"> z możliwością dodawania własnych elementów.</w:t>
            </w:r>
            <w:r w:rsidR="00B10408" w:rsidRPr="008A2883">
              <w:t xml:space="preserve"> </w:t>
            </w:r>
            <w:r w:rsidR="00855C68" w:rsidRPr="008A2883">
              <w:t>Bezprzewodowe, radiowe połączenie tablicy z komputerem</w:t>
            </w:r>
            <w:r w:rsidR="00E04064" w:rsidRPr="008A2883">
              <w:t>.</w:t>
            </w:r>
            <w:r w:rsidR="00CA1FCC" w:rsidRPr="008A2883">
              <w:t xml:space="preserve"> </w:t>
            </w:r>
            <w:r w:rsidR="00CA1FCC" w:rsidRPr="008A2883">
              <w:t>Tablica multimedialna powinna również posiadać głośniki.</w:t>
            </w:r>
          </w:p>
          <w:p w:rsidR="00E04064" w:rsidRPr="008A2883" w:rsidRDefault="00CA1FCC" w:rsidP="00855C68">
            <w:pPr>
              <w:pStyle w:val="NormalnyWeb"/>
              <w:jc w:val="both"/>
            </w:pPr>
            <w:r w:rsidRPr="008A2883">
              <w:t>Ponadto projektor powinien posiadać</w:t>
            </w:r>
            <w:r w:rsidR="00D7452A" w:rsidRPr="008A2883">
              <w:t xml:space="preserve"> możliwość podłączania min.</w:t>
            </w:r>
            <w:r w:rsidR="00327D5E" w:rsidRPr="008A2883">
              <w:t>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30"/>
              <w:gridCol w:w="3947"/>
              <w:gridCol w:w="2096"/>
            </w:tblGrid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Komputer (analogowe)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2 x Mini D-</w:t>
                  </w:r>
                  <w:proofErr w:type="spellStart"/>
                  <w:r w:rsidRPr="00D7452A">
                    <w:t>sub</w:t>
                  </w:r>
                  <w:proofErr w:type="spellEnd"/>
                  <w:r w:rsidRPr="00D7452A">
                    <w:t xml:space="preserve"> 15-pin, kompatybilne z component (</w:t>
                  </w:r>
                  <w:proofErr w:type="spellStart"/>
                  <w:r w:rsidRPr="00D7452A">
                    <w:t>YPbPr</w:t>
                  </w:r>
                  <w:proofErr w:type="spellEnd"/>
                  <w:r w:rsidRPr="00D7452A">
                    <w:t>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HDMI®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HDMI® (głębia koloru, synchronizacja obrazu i dźwięku)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Video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RCA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S-Video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Mini DIN 4-pin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Audio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2 x 3.5 mm Stereo Mini Jack; 2 x RCA Stereo </w:t>
                  </w:r>
                  <w:r w:rsidRPr="00D7452A">
                    <w:br/>
                    <w:t>Wyjście: 1 x 3.5 mm Stereo Mini Jack (</w:t>
                  </w:r>
                  <w:proofErr w:type="spellStart"/>
                  <w:r w:rsidRPr="00D7452A">
                    <w:t>variable</w:t>
                  </w:r>
                  <w:proofErr w:type="spellEnd"/>
                  <w:r w:rsidRPr="00D7452A">
                    <w:t>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PC Control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D-</w:t>
                  </w:r>
                  <w:proofErr w:type="spellStart"/>
                  <w:r w:rsidRPr="00D7452A">
                    <w:t>Sub</w:t>
                  </w:r>
                  <w:proofErr w:type="spellEnd"/>
                  <w:r w:rsidRPr="00D7452A">
                    <w:t xml:space="preserve"> 9 pin (RS-232) (męskie)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LAN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1 x RJ45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USB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D7452A">
                    <w:rPr>
                      <w:lang w:val="en-US"/>
                    </w:rPr>
                    <w:t>1 x Type B; 2 x Type A (USB 2.0 high speed)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 xml:space="preserve">Video </w:t>
                  </w:r>
                  <w:proofErr w:type="spellStart"/>
                  <w:r w:rsidRPr="00D7452A">
                    <w:t>Signals</w:t>
                  </w:r>
                  <w:proofErr w:type="spellEnd"/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D7452A">
                    <w:rPr>
                      <w:lang w:val="en-US"/>
                    </w:rPr>
                    <w:t xml:space="preserve">PAL; PAL60; </w:t>
                  </w:r>
                  <w:r w:rsidRPr="008A2883">
                    <w:rPr>
                      <w:lang w:val="en-US"/>
                    </w:rPr>
                    <w:t>NTSC; SECAM; NTSC 4.43; PAL-M</w:t>
                  </w:r>
                </w:p>
              </w:tc>
            </w:tr>
            <w:tr w:rsidR="00327D5E" w:rsidRPr="00327D5E" w:rsidTr="00D7452A">
              <w:trPr>
                <w:gridAfter w:val="1"/>
                <w:wAfter w:w="2051" w:type="dxa"/>
                <w:tblCellSpacing w:w="15" w:type="dxa"/>
              </w:trPr>
              <w:tc>
                <w:tcPr>
                  <w:tcW w:w="2007" w:type="dxa"/>
                  <w:gridSpan w:val="2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3917" w:type="dxa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</w:tr>
            <w:tr w:rsidR="00327D5E" w:rsidRPr="00327D5E" w:rsidTr="00D7452A">
              <w:trPr>
                <w:gridAfter w:val="1"/>
                <w:wAfter w:w="2051" w:type="dxa"/>
                <w:tblCellSpacing w:w="15" w:type="dxa"/>
              </w:trPr>
              <w:tc>
                <w:tcPr>
                  <w:tcW w:w="2007" w:type="dxa"/>
                  <w:gridSpan w:val="2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3917" w:type="dxa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</w:tr>
          </w:tbl>
          <w:p w:rsidR="00CA1FCC" w:rsidRDefault="00327D5E" w:rsidP="00CA1FCC">
            <w:r>
              <w:rPr>
                <w:sz w:val="21"/>
                <w:szCs w:val="21"/>
              </w:rPr>
              <w:t>Podstawa samojezdna</w:t>
            </w:r>
            <w:r w:rsidR="00CA1FCC">
              <w:rPr>
                <w:sz w:val="21"/>
                <w:szCs w:val="21"/>
              </w:rPr>
              <w:t xml:space="preserve">- </w:t>
            </w:r>
            <w:r w:rsidR="00CA1FCC">
              <w:t xml:space="preserve">podstawa na kółkach z regulacją wysokości – </w:t>
            </w:r>
            <w:r w:rsidR="00CA1FCC">
              <w:t xml:space="preserve">umożliwiająca </w:t>
            </w:r>
            <w:r w:rsidR="00CA1FCC">
              <w:t xml:space="preserve">podnoszenie i opuszczanie tablicy </w:t>
            </w:r>
            <w:r w:rsidR="00CA1FCC">
              <w:t>,</w:t>
            </w:r>
            <w:r w:rsidR="00CA1FCC">
              <w:t xml:space="preserve"> składany wysięgnik do projektora z regulowaną długością min. 82cm-120cm, uniwersalna</w:t>
            </w:r>
            <w:r w:rsidR="00CA1FCC">
              <w:t>,</w:t>
            </w:r>
            <w:r w:rsidR="00CA1FCC">
              <w:t xml:space="preserve"> ergonomiczna podstawa.</w:t>
            </w:r>
          </w:p>
          <w:p w:rsidR="00D218A6" w:rsidRDefault="00D218A6" w:rsidP="006D226A">
            <w:pPr>
              <w:spacing w:line="276" w:lineRule="auto"/>
            </w:pPr>
          </w:p>
          <w:p w:rsidR="008A2883" w:rsidRPr="006B1034" w:rsidRDefault="008A2883" w:rsidP="008A2883">
            <w:pPr>
              <w:spacing w:line="276" w:lineRule="auto"/>
            </w:pPr>
            <w:r>
              <w:t>Tablica multimedialna</w:t>
            </w:r>
            <w:r>
              <w:t xml:space="preserve"> po dostawie</w:t>
            </w:r>
            <w:r w:rsidR="00CF124B">
              <w:t xml:space="preserve"> powinna</w:t>
            </w:r>
            <w:r>
              <w:t xml:space="preserve"> być gotowy do użycia.</w:t>
            </w:r>
            <w:r w:rsidR="00EB7F3C">
              <w:t xml:space="preserve"> Sprzęt fabrycznie nowy</w:t>
            </w:r>
          </w:p>
          <w:p w:rsidR="006B1034" w:rsidRDefault="006B1034" w:rsidP="006D226A">
            <w:pPr>
              <w:spacing w:line="276" w:lineRule="auto"/>
            </w:pPr>
          </w:p>
          <w:p w:rsidR="00B55E35" w:rsidRDefault="00F05127" w:rsidP="00B55E35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>
              <w:t xml:space="preserve">Zakup, dostawa </w:t>
            </w:r>
            <w:r w:rsidR="00B55E35">
              <w:t xml:space="preserve"> </w:t>
            </w:r>
            <w:r>
              <w:t>m</w:t>
            </w:r>
            <w:r w:rsidR="00B55E35">
              <w:t>onitor</w:t>
            </w:r>
            <w:r>
              <w:t>a</w:t>
            </w:r>
            <w:r w:rsidR="00B55E35">
              <w:t xml:space="preserve"> TV</w:t>
            </w:r>
            <w:r w:rsidR="009E0CE7">
              <w:t xml:space="preserve"> – </w:t>
            </w:r>
            <w:r w:rsidR="009E0CE7">
              <w:t>telewizor</w:t>
            </w:r>
            <w:r w:rsidR="009E0CE7">
              <w:t xml:space="preserve"> min.</w:t>
            </w:r>
            <w:r w:rsidR="009E0CE7">
              <w:t xml:space="preserve"> LCD o przekątnej 42" w kolorze czarnym, rozdzielczość min. 1920x1080, wbudowane głośniki, złącza HDMI.</w:t>
            </w:r>
          </w:p>
          <w:p w:rsidR="00245A87" w:rsidRDefault="00245A87" w:rsidP="007015C7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15C7" w:rsidRPr="00855549" w:rsidRDefault="007015C7" w:rsidP="007015C7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15C7" w:rsidRDefault="007015C7" w:rsidP="007015C7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Przedmiotem zamówienia jest zakup, dostawa </w:t>
            </w:r>
            <w:r>
              <w:rPr>
                <w:sz w:val="22"/>
                <w:szCs w:val="22"/>
              </w:rPr>
              <w:t>monitora TV</w:t>
            </w:r>
            <w:r w:rsidR="00245A87">
              <w:rPr>
                <w:sz w:val="22"/>
                <w:szCs w:val="22"/>
              </w:rPr>
              <w:t xml:space="preserve"> do siedziby Zamawiającego</w:t>
            </w:r>
            <w:r w:rsidRPr="00207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według poniższej specyfikacji:</w:t>
            </w:r>
          </w:p>
          <w:p w:rsidR="00D218A6" w:rsidRDefault="00D218A6" w:rsidP="006D226A">
            <w:pPr>
              <w:spacing w:line="276" w:lineRule="auto"/>
            </w:pP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Monitor TV - telewizor – fabrycznie nowy</w:t>
            </w: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 xml:space="preserve">Telewizor min. 42 `` z funkcją </w:t>
            </w:r>
            <w:r w:rsidRPr="006B1034">
              <w:rPr>
                <w:rFonts w:ascii="Times New Roman" w:hAnsi="Times New Roman" w:cs="Times New Roman"/>
              </w:rPr>
              <w:t xml:space="preserve">jednoczesnego </w:t>
            </w:r>
            <w:r w:rsidRPr="006B1034">
              <w:rPr>
                <w:rFonts w:ascii="Times New Roman" w:hAnsi="Times New Roman" w:cs="Times New Roman"/>
              </w:rPr>
              <w:t>wyświetlania</w:t>
            </w:r>
            <w:r w:rsidRPr="006B1034">
              <w:rPr>
                <w:rFonts w:ascii="Times New Roman" w:hAnsi="Times New Roman" w:cs="Times New Roman"/>
              </w:rPr>
              <w:t xml:space="preserve"> zarówno</w:t>
            </w:r>
            <w:r w:rsidRPr="006B1034">
              <w:rPr>
                <w:rFonts w:ascii="Times New Roman" w:hAnsi="Times New Roman" w:cs="Times New Roman"/>
              </w:rPr>
              <w:t xml:space="preserve"> telewizji oraz treści reklamowych. </w:t>
            </w: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Rozdzielczość min. FHD 1920x1080</w:t>
            </w: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B1034">
              <w:rPr>
                <w:rFonts w:ascii="Times New Roman" w:hAnsi="Times New Roman" w:cs="Times New Roman"/>
              </w:rPr>
              <w:t>Wejścia typu: 2xHDMI, RGB  in,  PC Audio in, Component + Audio, RF, RS-232, RJP, USB</w:t>
            </w:r>
          </w:p>
          <w:p w:rsidR="00C22146" w:rsidRDefault="006B1034" w:rsidP="006D226A">
            <w:pPr>
              <w:spacing w:line="276" w:lineRule="auto"/>
            </w:pPr>
            <w:r w:rsidRPr="006B1034">
              <w:t xml:space="preserve">Telewizor powinien posiadać ekran – </w:t>
            </w:r>
            <w:proofErr w:type="spellStart"/>
            <w:r w:rsidRPr="006B1034">
              <w:t>powitalno</w:t>
            </w:r>
            <w:proofErr w:type="spellEnd"/>
            <w:r w:rsidRPr="006B1034">
              <w:t xml:space="preserve"> reklamowy, wyjście na głośnik zewnętrzny, port USB służący do odtwarzania zdjęć ( </w:t>
            </w:r>
            <w:proofErr w:type="spellStart"/>
            <w:r w:rsidRPr="006B1034">
              <w:t>jpeg</w:t>
            </w:r>
            <w:proofErr w:type="spellEnd"/>
            <w:r w:rsidRPr="006B1034">
              <w:t>), muzyki ( mp3), fil</w:t>
            </w:r>
            <w:r>
              <w:t xml:space="preserve">mów oraz do kopiowania ustawień, uchwyt do zawieszenia monitora TV na ścianie. </w:t>
            </w:r>
            <w:r w:rsidR="003774D7">
              <w:t>Ponadto p</w:t>
            </w:r>
            <w:r>
              <w:t xml:space="preserve">owinien posiadać  </w:t>
            </w:r>
            <w:r w:rsidR="003774D7">
              <w:t xml:space="preserve">następujące </w:t>
            </w:r>
            <w:r>
              <w:t>funkcje :</w:t>
            </w:r>
          </w:p>
          <w:p w:rsidR="006B1034" w:rsidRDefault="006B1034" w:rsidP="006D226A">
            <w:pPr>
              <w:spacing w:line="276" w:lineRule="auto"/>
            </w:pPr>
            <w:r>
              <w:t>- blokowanie dostrajania kanałów w standardowym menu</w:t>
            </w:r>
          </w:p>
          <w:p w:rsidR="006B1034" w:rsidRDefault="006B1034" w:rsidP="006D226A">
            <w:pPr>
              <w:spacing w:line="276" w:lineRule="auto"/>
            </w:pPr>
            <w:r>
              <w:t>- blokowanie zmieniania kanałów</w:t>
            </w:r>
          </w:p>
          <w:p w:rsidR="006B1034" w:rsidRDefault="006B1034" w:rsidP="006D226A">
            <w:pPr>
              <w:spacing w:line="276" w:lineRule="auto"/>
            </w:pPr>
            <w:r>
              <w:t>- blokowanie używania pilota bądź przycisków na panelu TV</w:t>
            </w:r>
          </w:p>
          <w:p w:rsidR="006B1034" w:rsidRDefault="006B1034" w:rsidP="006D226A">
            <w:pPr>
              <w:spacing w:line="276" w:lineRule="auto"/>
            </w:pPr>
            <w:r>
              <w:t>- możliwość ustawienia maksymalnej dopuszczalnej głośności</w:t>
            </w:r>
          </w:p>
          <w:p w:rsidR="006B1034" w:rsidRDefault="006B1034" w:rsidP="006D226A">
            <w:pPr>
              <w:spacing w:line="276" w:lineRule="auto"/>
            </w:pPr>
            <w:r>
              <w:t>- blokowanie możliwości zmieniania źródła sygnału</w:t>
            </w:r>
          </w:p>
          <w:p w:rsidR="00854859" w:rsidRDefault="00854859" w:rsidP="006D226A">
            <w:pPr>
              <w:spacing w:line="276" w:lineRule="auto"/>
            </w:pPr>
          </w:p>
          <w:p w:rsidR="00854859" w:rsidRDefault="00854859" w:rsidP="006D226A">
            <w:pPr>
              <w:spacing w:line="276" w:lineRule="auto"/>
            </w:pPr>
            <w:r>
              <w:t>Monitor TV</w:t>
            </w:r>
            <w:r w:rsidR="00E53DBD">
              <w:t xml:space="preserve"> po dostawie</w:t>
            </w:r>
            <w:r>
              <w:t xml:space="preserve"> powinien być gotowy do użyci</w:t>
            </w:r>
            <w:r w:rsidR="008A2883">
              <w:t>a.</w:t>
            </w:r>
          </w:p>
          <w:p w:rsidR="002C37F8" w:rsidRDefault="002C37F8" w:rsidP="006D226A">
            <w:pPr>
              <w:spacing w:line="276" w:lineRule="auto"/>
            </w:pPr>
          </w:p>
          <w:p w:rsidR="00054A30" w:rsidRDefault="00054A30" w:rsidP="00054A30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 w:rsidRPr="00054A30">
              <w:rPr>
                <w:color w:val="000000"/>
              </w:rPr>
              <w:t>Zakup, dostawa</w:t>
            </w:r>
            <w:r>
              <w:rPr>
                <w:color w:val="000000"/>
              </w:rPr>
              <w:t xml:space="preserve"> </w:t>
            </w:r>
            <w:r>
              <w:t>kserokopiarki</w:t>
            </w:r>
            <w:r>
              <w:t xml:space="preserve"> kolorowa (1 szt</w:t>
            </w:r>
            <w:r>
              <w:t>.) -</w:t>
            </w:r>
            <w:r>
              <w:t xml:space="preserve"> urządzenie wielofunkcyjne kolorowe/czarno białe</w:t>
            </w:r>
          </w:p>
          <w:p w:rsidR="002D52A2" w:rsidRDefault="00B24085" w:rsidP="00694AE8">
            <w:pPr>
              <w:spacing w:line="276" w:lineRule="auto"/>
            </w:pPr>
            <w:r>
              <w:t>Kserokopiarka kolorowa (1 szt</w:t>
            </w:r>
            <w:r>
              <w:t>.</w:t>
            </w:r>
            <w:r>
              <w:t>) -Szybkie urządzenie wielofunkcyjne kolorowe/czarno białe o prędkości pracy minimum 22 str./min. ,duża pojemność papieru i elastyczność ze standardową pojemnością min. 500 arkuszy, z możliwością rozbudowy o podajnik na min. 1000 arkuszy A4 lub 1000 arkuszy w formacie do A3, posiada funkcje kopiowania, drukowania, skanowania i faksowania, standardowa pamięć systemu min. 2048MB,  dysk twardy min.250 (GB), karta sieciowa min. 1GB.</w:t>
            </w:r>
            <w:r w:rsidR="007350C5">
              <w:t xml:space="preserve"> Urządzenie powinno posiadać funkcję kopiarki A3 kolor,</w:t>
            </w:r>
            <w:r w:rsidR="005419CA">
              <w:t xml:space="preserve"> </w:t>
            </w:r>
            <w:r w:rsidR="00AE18BA">
              <w:t>kolorową</w:t>
            </w:r>
            <w:r w:rsidR="007350C5">
              <w:t xml:space="preserve"> drukarkę sieciową, kolorowy  skaner sieciowy, skanowanie do foldera, skanowanie do e-mail i opcję faksu. </w:t>
            </w:r>
            <w:r>
              <w:t xml:space="preserve"> </w:t>
            </w:r>
          </w:p>
          <w:p w:rsidR="00AE18BA" w:rsidRDefault="00AE18BA" w:rsidP="00AE18BA">
            <w:pPr>
              <w:spacing w:line="276" w:lineRule="auto"/>
            </w:pPr>
            <w:r>
              <w:t xml:space="preserve">Kserokopiarka kolorowa </w:t>
            </w:r>
            <w:r>
              <w:t xml:space="preserve"> po dostawie</w:t>
            </w:r>
            <w:r w:rsidR="00CF124B">
              <w:t xml:space="preserve"> powinna</w:t>
            </w:r>
            <w:r>
              <w:t xml:space="preserve"> być gotowy do użycia.</w:t>
            </w:r>
            <w:r w:rsidR="00C65A7C">
              <w:t xml:space="preserve"> Sprzęt fabrycznie nowy.</w:t>
            </w:r>
          </w:p>
          <w:p w:rsidR="00694AE8" w:rsidRPr="007040A5" w:rsidRDefault="00694AE8" w:rsidP="00694AE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>
              <w:rPr>
                <w:rFonts w:ascii="Times New Roman" w:hAnsi="Times New Roman" w:cs="Times New Roman"/>
                <w:color w:val="auto"/>
              </w:rPr>
              <w:t xml:space="preserve"> do </w:t>
            </w:r>
            <w:r w:rsidR="00934EA9">
              <w:rPr>
                <w:rFonts w:ascii="Times New Roman" w:hAnsi="Times New Roman" w:cs="Times New Roman"/>
                <w:b/>
                <w:color w:val="auto"/>
              </w:rPr>
              <w:t>15.11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</w:t>
            </w:r>
            <w:r w:rsidR="00673B4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a, 1b, 1c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F5AFB" w:rsidRPr="00944F83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EF5AFB">
              <w:t xml:space="preserve"> , </w:t>
            </w:r>
            <w:r w:rsidR="00EF5AFB" w:rsidRPr="00CE65D4">
              <w:rPr>
                <w:rFonts w:ascii="Times New Roman" w:hAnsi="Times New Roman" w:cs="Times New Roman"/>
                <w:color w:val="0070C0"/>
                <w:u w:val="single"/>
              </w:rPr>
              <w:t>rig@onet.pl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8C5D5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12.11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033C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dostawy </w:t>
            </w:r>
            <w:r w:rsidR="00033CBB" w:rsidRPr="00033CB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tablicy multimedialnej</w:t>
            </w:r>
            <w:r w:rsidR="008C5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DF4D7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,</w:t>
            </w:r>
            <w:r w:rsidR="008C5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monitora TV</w:t>
            </w:r>
            <w:r w:rsidR="00DF4D7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oraz kserokopiarki kolorowej</w:t>
            </w:r>
            <w:bookmarkStart w:id="0" w:name="_GoBack"/>
            <w:bookmarkEnd w:id="0"/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, nr 8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04</w:t>
            </w:r>
            <w:r w:rsidR="0047551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11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7A6E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8C5D5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8C5D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zakładce 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Zapytania ofertowe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lastRenderedPageBreak/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703A7C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03A7C">
              <w:rPr>
                <w:bCs/>
                <w:sz w:val="22"/>
                <w:szCs w:val="22"/>
              </w:rPr>
              <w:t>Tablica multimedialna wraz</w:t>
            </w:r>
            <w:r>
              <w:rPr>
                <w:bCs/>
              </w:rPr>
              <w:t xml:space="preserve"> </w:t>
            </w:r>
            <w:r w:rsidRPr="009B3B6B">
              <w:rPr>
                <w:sz w:val="22"/>
                <w:szCs w:val="22"/>
              </w:rPr>
              <w:t>z projektorem krótkoogniskowym i podstawą samojezdną</w:t>
            </w:r>
            <w:r w:rsidRPr="0071360E">
              <w:rPr>
                <w:b/>
                <w:sz w:val="22"/>
                <w:szCs w:val="22"/>
              </w:rPr>
              <w:t xml:space="preserve"> </w:t>
            </w:r>
            <w:r w:rsidR="00281106" w:rsidRPr="0071360E">
              <w:rPr>
                <w:b/>
                <w:sz w:val="22"/>
                <w:szCs w:val="22"/>
              </w:rPr>
              <w:t>cena ofertowa brutto</w:t>
            </w:r>
            <w:r w:rsidR="00281106" w:rsidRPr="007040A5">
              <w:rPr>
                <w:sz w:val="22"/>
                <w:szCs w:val="22"/>
              </w:rPr>
              <w:t xml:space="preserve"> – </w:t>
            </w:r>
            <w:r w:rsidR="00787C16">
              <w:rPr>
                <w:b/>
                <w:bCs/>
                <w:sz w:val="22"/>
                <w:szCs w:val="22"/>
              </w:rPr>
              <w:t>100</w:t>
            </w:r>
            <w:r w:rsidR="00281106"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703A7C" w:rsidRDefault="00703A7C" w:rsidP="00703A7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Monitor TV </w:t>
            </w:r>
            <w:r w:rsidR="00E222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22255" w:rsidRDefault="00E22255" w:rsidP="00E22255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540D">
              <w:rPr>
                <w:bCs/>
                <w:sz w:val="22"/>
                <w:szCs w:val="22"/>
              </w:rPr>
              <w:t>( maksymalna liczba punktów do zdobyci</w:t>
            </w:r>
            <w:r>
              <w:rPr>
                <w:bCs/>
                <w:sz w:val="22"/>
                <w:szCs w:val="22"/>
              </w:rPr>
              <w:t>a</w:t>
            </w:r>
            <w:r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DC7863" w:rsidRPr="00DC7863" w:rsidRDefault="00DC7863" w:rsidP="00DC78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t xml:space="preserve">Kserokopiarka kolorowa </w:t>
            </w:r>
            <w:r>
              <w:t xml:space="preserve"> </w:t>
            </w:r>
            <w:r>
              <w:t>- urządzenie wielofunkcyjne</w:t>
            </w:r>
          </w:p>
          <w:p w:rsidR="00DC7863" w:rsidRDefault="00DC7863" w:rsidP="00DC7863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540D">
              <w:rPr>
                <w:bCs/>
                <w:sz w:val="22"/>
                <w:szCs w:val="22"/>
              </w:rPr>
              <w:t>( maksymalna liczba punktów do zdobyci</w:t>
            </w:r>
            <w:r>
              <w:rPr>
                <w:bCs/>
                <w:sz w:val="22"/>
                <w:szCs w:val="22"/>
              </w:rPr>
              <w:t>a</w:t>
            </w:r>
            <w:r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7132AB" w:rsidRPr="00DC7863" w:rsidRDefault="007132AB" w:rsidP="00DC7863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W niniejszym postępowaniu Zamawiający dopuszcza możliwość przekazywania sobie przez strony postępowania informacji za pomocą poczty elektronicznej na adres:</w:t>
            </w:r>
            <w:r w:rsidR="00CE6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CE65D4" w:rsidRPr="007040A5">
              <w:rPr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="00CE65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Zamawiający dopuszcza składanie ofert obejmujących</w:t>
            </w:r>
            <w:r w:rsidR="00B262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częściowe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wykonanie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9" w:rsidRDefault="00DF7239" w:rsidP="009F29CD">
      <w:r>
        <w:separator/>
      </w:r>
    </w:p>
  </w:endnote>
  <w:endnote w:type="continuationSeparator" w:id="0">
    <w:p w:rsidR="00DF7239" w:rsidRDefault="00DF7239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9" w:rsidRDefault="00DF7239" w:rsidP="009F29CD">
      <w:r>
        <w:separator/>
      </w:r>
    </w:p>
  </w:footnote>
  <w:footnote w:type="continuationSeparator" w:id="0">
    <w:p w:rsidR="00DF7239" w:rsidRDefault="00DF7239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DF7239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240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DF4D7A">
                      <w:rPr>
                        <w:noProof/>
                      </w:rPr>
                      <w:t>5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E9A4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79EA"/>
    <w:rsid w:val="000245D9"/>
    <w:rsid w:val="00033CBB"/>
    <w:rsid w:val="00042872"/>
    <w:rsid w:val="000440F6"/>
    <w:rsid w:val="00054A30"/>
    <w:rsid w:val="00061F72"/>
    <w:rsid w:val="00067C18"/>
    <w:rsid w:val="00070449"/>
    <w:rsid w:val="00075B2D"/>
    <w:rsid w:val="00090E2B"/>
    <w:rsid w:val="00090F96"/>
    <w:rsid w:val="000914BB"/>
    <w:rsid w:val="000916A0"/>
    <w:rsid w:val="00091F86"/>
    <w:rsid w:val="000D2250"/>
    <w:rsid w:val="000D48CF"/>
    <w:rsid w:val="000F657A"/>
    <w:rsid w:val="00102C0D"/>
    <w:rsid w:val="0010634D"/>
    <w:rsid w:val="0010667A"/>
    <w:rsid w:val="001162FB"/>
    <w:rsid w:val="001256C2"/>
    <w:rsid w:val="001425EB"/>
    <w:rsid w:val="00150C52"/>
    <w:rsid w:val="001519BC"/>
    <w:rsid w:val="001619A6"/>
    <w:rsid w:val="001875DE"/>
    <w:rsid w:val="00190D10"/>
    <w:rsid w:val="00197E60"/>
    <w:rsid w:val="001B3DCB"/>
    <w:rsid w:val="001E5F89"/>
    <w:rsid w:val="001F048E"/>
    <w:rsid w:val="00200B10"/>
    <w:rsid w:val="002011D8"/>
    <w:rsid w:val="002035EC"/>
    <w:rsid w:val="00207E2D"/>
    <w:rsid w:val="002170AC"/>
    <w:rsid w:val="00217F01"/>
    <w:rsid w:val="002323A7"/>
    <w:rsid w:val="0023543C"/>
    <w:rsid w:val="00245A87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26B6"/>
    <w:rsid w:val="002A6542"/>
    <w:rsid w:val="002B1CF4"/>
    <w:rsid w:val="002C37F8"/>
    <w:rsid w:val="002C52D1"/>
    <w:rsid w:val="002C6BBB"/>
    <w:rsid w:val="002D1D24"/>
    <w:rsid w:val="002D52A2"/>
    <w:rsid w:val="002F0334"/>
    <w:rsid w:val="00327D5E"/>
    <w:rsid w:val="00345BA4"/>
    <w:rsid w:val="00347123"/>
    <w:rsid w:val="003563EA"/>
    <w:rsid w:val="003774D7"/>
    <w:rsid w:val="00387531"/>
    <w:rsid w:val="003A6D1F"/>
    <w:rsid w:val="003A76BE"/>
    <w:rsid w:val="003C50A1"/>
    <w:rsid w:val="003C717F"/>
    <w:rsid w:val="003D66EA"/>
    <w:rsid w:val="003F710B"/>
    <w:rsid w:val="00400E10"/>
    <w:rsid w:val="00424FB7"/>
    <w:rsid w:val="00433F13"/>
    <w:rsid w:val="00435586"/>
    <w:rsid w:val="00440499"/>
    <w:rsid w:val="00442477"/>
    <w:rsid w:val="004475C7"/>
    <w:rsid w:val="00455A21"/>
    <w:rsid w:val="004613E6"/>
    <w:rsid w:val="00475519"/>
    <w:rsid w:val="00477C9F"/>
    <w:rsid w:val="00477E70"/>
    <w:rsid w:val="00480A59"/>
    <w:rsid w:val="004D0B9E"/>
    <w:rsid w:val="004D540D"/>
    <w:rsid w:val="004D7743"/>
    <w:rsid w:val="004E753A"/>
    <w:rsid w:val="00504A73"/>
    <w:rsid w:val="00511509"/>
    <w:rsid w:val="005172C0"/>
    <w:rsid w:val="00520D6E"/>
    <w:rsid w:val="00526043"/>
    <w:rsid w:val="00533EB5"/>
    <w:rsid w:val="005419CA"/>
    <w:rsid w:val="00547C35"/>
    <w:rsid w:val="00552779"/>
    <w:rsid w:val="00566244"/>
    <w:rsid w:val="00570CB1"/>
    <w:rsid w:val="00570F27"/>
    <w:rsid w:val="005959D5"/>
    <w:rsid w:val="005A56D3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3B4F"/>
    <w:rsid w:val="00676048"/>
    <w:rsid w:val="0068631D"/>
    <w:rsid w:val="00694AE8"/>
    <w:rsid w:val="006B1034"/>
    <w:rsid w:val="006C4061"/>
    <w:rsid w:val="006D19CB"/>
    <w:rsid w:val="006D226A"/>
    <w:rsid w:val="006D7B79"/>
    <w:rsid w:val="006E0C68"/>
    <w:rsid w:val="00700616"/>
    <w:rsid w:val="007015C7"/>
    <w:rsid w:val="00703A7C"/>
    <w:rsid w:val="007040A5"/>
    <w:rsid w:val="007045AF"/>
    <w:rsid w:val="007125F4"/>
    <w:rsid w:val="007132AB"/>
    <w:rsid w:val="0071360E"/>
    <w:rsid w:val="007215EE"/>
    <w:rsid w:val="007226AF"/>
    <w:rsid w:val="007350C5"/>
    <w:rsid w:val="007357D6"/>
    <w:rsid w:val="00754D3A"/>
    <w:rsid w:val="00754F00"/>
    <w:rsid w:val="007705C1"/>
    <w:rsid w:val="00787C16"/>
    <w:rsid w:val="007A0522"/>
    <w:rsid w:val="007A6E8B"/>
    <w:rsid w:val="007D16BA"/>
    <w:rsid w:val="007E3685"/>
    <w:rsid w:val="007E587D"/>
    <w:rsid w:val="007F016F"/>
    <w:rsid w:val="007F1258"/>
    <w:rsid w:val="007F6A3B"/>
    <w:rsid w:val="008124B2"/>
    <w:rsid w:val="00815465"/>
    <w:rsid w:val="008500DA"/>
    <w:rsid w:val="00854859"/>
    <w:rsid w:val="00854FD9"/>
    <w:rsid w:val="00855549"/>
    <w:rsid w:val="00855C5D"/>
    <w:rsid w:val="00855C68"/>
    <w:rsid w:val="00867FEC"/>
    <w:rsid w:val="008728F3"/>
    <w:rsid w:val="00880C75"/>
    <w:rsid w:val="0088516B"/>
    <w:rsid w:val="00886D17"/>
    <w:rsid w:val="00891834"/>
    <w:rsid w:val="008A0FF2"/>
    <w:rsid w:val="008A2883"/>
    <w:rsid w:val="008B1230"/>
    <w:rsid w:val="008B4098"/>
    <w:rsid w:val="008C21E4"/>
    <w:rsid w:val="008C5D57"/>
    <w:rsid w:val="008C64DB"/>
    <w:rsid w:val="008E3EE1"/>
    <w:rsid w:val="008E6966"/>
    <w:rsid w:val="0090221D"/>
    <w:rsid w:val="0090320A"/>
    <w:rsid w:val="00905E6D"/>
    <w:rsid w:val="00906386"/>
    <w:rsid w:val="00917882"/>
    <w:rsid w:val="009319FD"/>
    <w:rsid w:val="00934EA9"/>
    <w:rsid w:val="00940DDA"/>
    <w:rsid w:val="0094766C"/>
    <w:rsid w:val="009662BC"/>
    <w:rsid w:val="00990AD2"/>
    <w:rsid w:val="009A03D2"/>
    <w:rsid w:val="009A1A56"/>
    <w:rsid w:val="009A264A"/>
    <w:rsid w:val="009A37CC"/>
    <w:rsid w:val="009A7AFC"/>
    <w:rsid w:val="009B3B6B"/>
    <w:rsid w:val="009C69F2"/>
    <w:rsid w:val="009D0BB4"/>
    <w:rsid w:val="009D5405"/>
    <w:rsid w:val="009E0CE7"/>
    <w:rsid w:val="009E6D7E"/>
    <w:rsid w:val="009F29CD"/>
    <w:rsid w:val="00A058E0"/>
    <w:rsid w:val="00A368C8"/>
    <w:rsid w:val="00A40BF8"/>
    <w:rsid w:val="00A4745B"/>
    <w:rsid w:val="00A635F8"/>
    <w:rsid w:val="00A802B1"/>
    <w:rsid w:val="00A81A07"/>
    <w:rsid w:val="00A87D64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8BA"/>
    <w:rsid w:val="00AE2312"/>
    <w:rsid w:val="00B07C9A"/>
    <w:rsid w:val="00B10408"/>
    <w:rsid w:val="00B14624"/>
    <w:rsid w:val="00B24085"/>
    <w:rsid w:val="00B26212"/>
    <w:rsid w:val="00B27309"/>
    <w:rsid w:val="00B55E35"/>
    <w:rsid w:val="00B6271D"/>
    <w:rsid w:val="00B91A8A"/>
    <w:rsid w:val="00B956B3"/>
    <w:rsid w:val="00BA0561"/>
    <w:rsid w:val="00BA0D1C"/>
    <w:rsid w:val="00BA3CD8"/>
    <w:rsid w:val="00BC71FB"/>
    <w:rsid w:val="00BE7A15"/>
    <w:rsid w:val="00BF5D37"/>
    <w:rsid w:val="00C01BA2"/>
    <w:rsid w:val="00C07FAF"/>
    <w:rsid w:val="00C22146"/>
    <w:rsid w:val="00C26024"/>
    <w:rsid w:val="00C447A8"/>
    <w:rsid w:val="00C51642"/>
    <w:rsid w:val="00C65A7C"/>
    <w:rsid w:val="00C833AF"/>
    <w:rsid w:val="00C91527"/>
    <w:rsid w:val="00C93549"/>
    <w:rsid w:val="00CA1FCC"/>
    <w:rsid w:val="00CA3D49"/>
    <w:rsid w:val="00CA7959"/>
    <w:rsid w:val="00CB6888"/>
    <w:rsid w:val="00CB76F5"/>
    <w:rsid w:val="00CD1437"/>
    <w:rsid w:val="00CE0A7A"/>
    <w:rsid w:val="00CE1E39"/>
    <w:rsid w:val="00CE2806"/>
    <w:rsid w:val="00CE3685"/>
    <w:rsid w:val="00CE6203"/>
    <w:rsid w:val="00CE65D4"/>
    <w:rsid w:val="00CF124B"/>
    <w:rsid w:val="00D00F1A"/>
    <w:rsid w:val="00D07058"/>
    <w:rsid w:val="00D07275"/>
    <w:rsid w:val="00D218A6"/>
    <w:rsid w:val="00D4210E"/>
    <w:rsid w:val="00D45D5E"/>
    <w:rsid w:val="00D60E76"/>
    <w:rsid w:val="00D63D12"/>
    <w:rsid w:val="00D64430"/>
    <w:rsid w:val="00D7452A"/>
    <w:rsid w:val="00D74957"/>
    <w:rsid w:val="00D8347B"/>
    <w:rsid w:val="00DA558E"/>
    <w:rsid w:val="00DC5FDF"/>
    <w:rsid w:val="00DC7863"/>
    <w:rsid w:val="00DE0EB1"/>
    <w:rsid w:val="00DF4D7A"/>
    <w:rsid w:val="00DF7239"/>
    <w:rsid w:val="00E04064"/>
    <w:rsid w:val="00E1267C"/>
    <w:rsid w:val="00E171B1"/>
    <w:rsid w:val="00E22255"/>
    <w:rsid w:val="00E263E0"/>
    <w:rsid w:val="00E273FD"/>
    <w:rsid w:val="00E35253"/>
    <w:rsid w:val="00E530A7"/>
    <w:rsid w:val="00E53DBD"/>
    <w:rsid w:val="00E61E0F"/>
    <w:rsid w:val="00E739DB"/>
    <w:rsid w:val="00E84E65"/>
    <w:rsid w:val="00E92752"/>
    <w:rsid w:val="00EB5E96"/>
    <w:rsid w:val="00EB7F3C"/>
    <w:rsid w:val="00EC6364"/>
    <w:rsid w:val="00EC731B"/>
    <w:rsid w:val="00EE778B"/>
    <w:rsid w:val="00EF5AFB"/>
    <w:rsid w:val="00F01428"/>
    <w:rsid w:val="00F04FAB"/>
    <w:rsid w:val="00F05127"/>
    <w:rsid w:val="00F173A9"/>
    <w:rsid w:val="00F26CEE"/>
    <w:rsid w:val="00F362D1"/>
    <w:rsid w:val="00F368F7"/>
    <w:rsid w:val="00F47144"/>
    <w:rsid w:val="00F57D94"/>
    <w:rsid w:val="00F60779"/>
    <w:rsid w:val="00F76B24"/>
    <w:rsid w:val="00F828C2"/>
    <w:rsid w:val="00F845AF"/>
    <w:rsid w:val="00F865D2"/>
    <w:rsid w:val="00FA177D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5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kolodziej@rig-st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B82A-7DFC-480F-B3F8-A31BDBE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281</cp:revision>
  <cp:lastPrinted>2013-11-04T12:59:00Z</cp:lastPrinted>
  <dcterms:created xsi:type="dcterms:W3CDTF">2013-01-09T09:30:00Z</dcterms:created>
  <dcterms:modified xsi:type="dcterms:W3CDTF">2013-11-04T13:06:00Z</dcterms:modified>
</cp:coreProperties>
</file>